
<file path=[Content_Types].xml><?xml version="1.0" encoding="utf-8"?>
<Types xmlns="http://schemas.openxmlformats.org/package/2006/content-types">
  <Override PartName="/_rels/.rels" ContentType="application/vnd.openxmlformats-package.relationships+xml"/>
  <Override PartName="/customXml/itemProps4.xml" ContentType="application/vnd.openxmlformats-officedocument.customXmlProperties+xml"/>
  <Override PartName="/customXml/item1.xml" ContentType="application/xml"/>
  <Override PartName="/customXml/itemProps1.xml" ContentType="application/vnd.openxmlformats-officedocument.customXmlProperties+xml"/>
  <Override PartName="/customXml/item2.xml" ContentType="application/xml"/>
  <Override PartName="/customXml/item4.xml" ContentType="application/xml"/>
  <Override PartName="/customXml/itemProps3.xml" ContentType="application/vnd.openxmlformats-officedocument.customXmlProperties+xml"/>
  <Override PartName="/customXml/_rels/item4.xml.rels" ContentType="application/vnd.openxmlformats-package.relationship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Override PartName="/customXml/item3.xml" ContentType="application/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13.wmf" ContentType="image/x-wmf"/>
  <Override PartName="/word/media/image11.png" ContentType="image/png"/>
  <Override PartName="/word/media/image12.wmf" ContentType="image/x-wmf"/>
  <Override PartName="/word/media/image10.png" ContentType="image/png"/>
  <Override PartName="/word/media/image9.png" ContentType="image/png"/>
  <Override PartName="/word/media/image8.wmf" ContentType="image/x-wmf"/>
  <Override PartName="/word/media/image7.png" ContentType="image/png"/>
  <Override PartName="/word/media/image1.wmf" ContentType="image/x-wmf"/>
  <Override PartName="/word/media/image3.png" ContentType="image/png"/>
  <Override PartName="/word/media/image2.png" ContentType="image/png"/>
  <Override PartName="/word/media/image4.wmf" ContentType="image/x-wmf"/>
  <Override PartName="/word/media/image5.png" ContentType="image/png"/>
  <Override PartName="/word/media/image6.wmf" ContentType="image/x-wmf"/>
  <Override PartName="/word/glossary/fontTable.xml" ContentType="application/vnd.openxmlformats-officedocument.wordprocessingml.fontTable+xml"/>
  <Override PartName="/word/glossary/_rels/document.xml.rels" ContentType="application/vnd.openxmlformats-package.relationships+xml"/>
  <Override PartName="/word/glossary/webSettings.xml" ContentType="application/vnd.openxmlformats-officedocument.wordprocessingml.web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settings.xml" ContentType="application/vnd.openxmlformats-officedocument.wordprocessingml.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sz w:val="40"/>
          <w:szCs w:val="40"/>
        </w:rPr>
      </w:pPr>
      <w:r>
        <w:rPr>
          <w:rFonts w:cs="Times New Roman" w:ascii="Times New Roman" w:hAnsi="Times New Roman"/>
          <w:sz w:val="40"/>
          <w:szCs w:val="40"/>
          <w:u w:val="single"/>
        </w:rPr>
        <w:t>CARIBU Background Analysis</w:t>
      </w:r>
    </w:p>
    <w:p>
      <w:pPr>
        <w:pStyle w:val="Normal"/>
        <w:jc w:val="center"/>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sz w:val="28"/>
          <w:szCs w:val="28"/>
          <w:u w:val="single"/>
        </w:rPr>
        <w:t>Purpose:</w:t>
      </w:r>
      <w:r>
        <w:rPr>
          <w:rFonts w:cs="Times New Roman" w:ascii="Times New Roman" w:hAnsi="Times New Roman"/>
          <w:sz w:val="28"/>
          <w:szCs w:val="28"/>
        </w:rPr>
        <w:t xml:space="preserve"> </w:t>
      </w:r>
    </w:p>
    <w:p>
      <w:pPr>
        <w:pStyle w:val="Normal"/>
        <w:jc w:val="both"/>
        <w:rPr>
          <w:rFonts w:ascii="Times New Roman" w:hAnsi="Times New Roman" w:cs="Times New Roman"/>
        </w:rPr>
      </w:pPr>
      <w:r>
        <w:rPr>
          <w:rFonts w:cs="Times New Roman" w:ascii="Times New Roman" w:hAnsi="Times New Roman"/>
        </w:rPr>
        <w:tab/>
        <w:t>The “X-Array and SATURN” is a sensitive experimental setup for beta-decay spectroscopy of neutron-rich nuclei produced at the CARIBU facility. To understand the lower limits of sensitivity when looking for either very exotic isotopes, or very weak transitions in strongly produced isotopes, the rate of “background” triggers is very important. Without a radioactive beam present, the probability of beta-gamma-gamma coincidences is expected to be vanishingly low. In a normal environment this would be true, triggers would probably occur at a rate of a few per second. However, “background” in the CARIBU experimental hall is much more hostile, and raises the ambient trigger rate in High-Purity Germanium (HPGe) detectors by two orders of magnitude. This has been problematic both for beam tuning and optimization, as well as for real experiments.</w:t>
      </w:r>
    </w:p>
    <w:p>
      <w:pPr>
        <w:pStyle w:val="Normal"/>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t xml:space="preserve">The background in the current low-energy CARIBU hall has proven to come mainly from the CARIBU gas-catcher, due to the presence of the 1 mCi </w:t>
      </w:r>
      <w:r>
        <w:rPr>
          <w:rFonts w:cs="Times New Roman" w:ascii="Times New Roman" w:hAnsi="Times New Roman"/>
          <w:vertAlign w:val="superscript"/>
        </w:rPr>
        <w:t>252</w:t>
      </w:r>
      <w:r>
        <w:rPr>
          <w:rFonts w:cs="Times New Roman" w:ascii="Times New Roman" w:hAnsi="Times New Roman"/>
        </w:rPr>
        <w:t xml:space="preserve">Cf source. The main interfering background is induced by fission neutrons, particularly the </w:t>
      </w:r>
      <w:r>
        <w:rPr>
          <w:rFonts w:cs="Times New Roman" w:ascii="Times New Roman" w:hAnsi="Times New Roman"/>
          <w:vertAlign w:val="superscript"/>
        </w:rPr>
        <w:t>56</w:t>
      </w:r>
      <w:r>
        <w:rPr>
          <w:rFonts w:cs="Times New Roman" w:ascii="Times New Roman" w:hAnsi="Times New Roman"/>
        </w:rPr>
        <w:t xml:space="preserve">Fe(n,g) reaction. Gamma-rays with energies greater than 7 MeV have been seen in spectra (Figure 1) collected with the high-efficiency HPGe clover-detectors of X-Array (which is roughly 4 meters away from the </w:t>
      </w:r>
      <w:r>
        <w:rPr>
          <w:rFonts w:cs="Times New Roman" w:ascii="Times New Roman" w:hAnsi="Times New Roman"/>
          <w:vertAlign w:val="superscript"/>
        </w:rPr>
        <w:t>252</w:t>
      </w:r>
      <w:r>
        <w:rPr>
          <w:rFonts w:cs="Times New Roman" w:ascii="Times New Roman" w:hAnsi="Times New Roman"/>
        </w:rPr>
        <w:t xml:space="preserve">Cf gas-catcher). </w:t>
      </w:r>
    </w:p>
    <w:p>
      <w:pPr>
        <w:pStyle w:val="Normal"/>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1" allowOverlap="1" relativeHeight="10">
            <wp:simplePos x="0" y="0"/>
            <wp:positionH relativeFrom="column">
              <wp:posOffset>5715</wp:posOffset>
            </wp:positionH>
            <wp:positionV relativeFrom="paragraph">
              <wp:posOffset>6350</wp:posOffset>
            </wp:positionV>
            <wp:extent cx="5486400" cy="2905760"/>
            <wp:effectExtent l="0" t="0" r="0" b="0"/>
            <wp:wrapNone/>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2"/>
                    <a:stretch>
                      <a:fillRect/>
                    </a:stretch>
                  </pic:blipFill>
                  <pic:spPr bwMode="auto">
                    <a:xfrm>
                      <a:off x="0" y="0"/>
                      <a:ext cx="5486400" cy="2905760"/>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2" wp14:anchorId="2D78F292">
                <wp:simplePos x="0" y="0"/>
                <wp:positionH relativeFrom="margin">
                  <wp:posOffset>0</wp:posOffset>
                </wp:positionH>
                <wp:positionV relativeFrom="paragraph">
                  <wp:posOffset>60325</wp:posOffset>
                </wp:positionV>
                <wp:extent cx="5487035" cy="343535"/>
                <wp:effectExtent l="0" t="0" r="0" b="12700"/>
                <wp:wrapNone/>
                <wp:docPr id="2" name="Text Box 389136"/>
                <a:graphic xmlns:a="http://schemas.openxmlformats.org/drawingml/2006/main">
                  <a:graphicData uri="http://schemas.microsoft.com/office/word/2010/wordprocessingShape">
                    <wps:wsp>
                      <wps:cNvSpPr/>
                      <wps:spPr>
                        <a:xfrm>
                          <a:off x="0" y="0"/>
                          <a:ext cx="5486400" cy="34308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1: Background spectrum collected in the CARIBU hall for ~8 hours with X-Array (20 detectors total—four per clover) located in it’s experimental position.</w:t>
                            </w:r>
                          </w:p>
                        </w:txbxContent>
                      </wps:txbx>
                      <wps:bodyPr lIns="0" rIns="0" tIns="0" bIns="0">
                        <a:prstTxWarp prst="textNoShape"/>
                        <a:noAutofit/>
                      </wps:bodyPr>
                    </wps:wsp>
                  </a:graphicData>
                </a:graphic>
              </wp:anchor>
            </w:drawing>
          </mc:Choice>
          <mc:Fallback>
            <w:pict>
              <v:rect id="shape_0" ID="Text Box 389136" fillcolor="white" stroked="f" style="position:absolute;margin-left:0pt;margin-top:4.75pt;width:431.95pt;height:26.95pt;mso-position-horizontal-relative:margin" wp14:anchorId="2D78F292">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1: Background spectrum collected in the CARIBU hall for ~8 hours with X-Array (20 detectors total—four per clover) located in it’s experimental position.</w:t>
                      </w:r>
                    </w:p>
                  </w:txbxContent>
                </v:textbox>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r>
    </w:p>
    <w:p>
      <w:pPr>
        <w:pStyle w:val="Normal"/>
        <w:ind w:firstLine="720"/>
        <w:jc w:val="both"/>
        <w:rPr>
          <w:rFonts w:ascii="Times New Roman" w:hAnsi="Times New Roman" w:cs="Times New Roman"/>
        </w:rPr>
      </w:pPr>
      <w:r>
        <w:rPr>
          <w:rFonts w:cs="Times New Roman" w:ascii="Times New Roman" w:hAnsi="Times New Roman"/>
        </w:rPr>
        <w:t xml:space="preserve">The spectrum has two dominant features: the “Ski Ramp” of scattered radiation below 511 keV, and the strong gamma-rays from </w:t>
      </w:r>
      <w:r>
        <w:rPr>
          <w:rFonts w:cs="Times New Roman" w:ascii="Times New Roman" w:hAnsi="Times New Roman"/>
          <w:vertAlign w:val="superscript"/>
        </w:rPr>
        <w:t>56</w:t>
      </w:r>
      <w:r>
        <w:rPr>
          <w:rFonts w:cs="Times New Roman" w:ascii="Times New Roman" w:hAnsi="Times New Roman"/>
        </w:rPr>
        <w:t>Fe(n,g) at 7.6 MeV. The spectrum does not fall to zero counts until after 9.7 MeV.</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drawing>
          <wp:anchor behindDoc="0" distT="25400" distB="20955" distL="139700" distR="152400" simplePos="0" locked="0" layoutInCell="1" allowOverlap="1" relativeHeight="3">
            <wp:simplePos x="0" y="0"/>
            <wp:positionH relativeFrom="margin">
              <wp:posOffset>920750</wp:posOffset>
            </wp:positionH>
            <wp:positionV relativeFrom="paragraph">
              <wp:posOffset>86360</wp:posOffset>
            </wp:positionV>
            <wp:extent cx="3644900" cy="2671445"/>
            <wp:effectExtent l="0" t="0" r="0" b="0"/>
            <wp:wrapNone/>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3644900" cy="2671445"/>
                    </a:xfrm>
                    <a:prstGeom prst="rect">
                      <a:avLst/>
                    </a:prstGeom>
                    <a:ln w="19050">
                      <a:solidFill>
                        <a:srgbClr val="000000"/>
                      </a:solidFill>
                    </a:ln>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4" wp14:anchorId="6E8BA006">
                <wp:simplePos x="0" y="0"/>
                <wp:positionH relativeFrom="margin">
                  <wp:posOffset>-50800</wp:posOffset>
                </wp:positionH>
                <wp:positionV relativeFrom="paragraph">
                  <wp:posOffset>-3810</wp:posOffset>
                </wp:positionV>
                <wp:extent cx="5578475" cy="441960"/>
                <wp:effectExtent l="0" t="0" r="10160" b="0"/>
                <wp:wrapNone/>
                <wp:docPr id="5" name="Text Box 5"/>
                <a:graphic xmlns:a="http://schemas.openxmlformats.org/drawingml/2006/main">
                  <a:graphicData uri="http://schemas.microsoft.com/office/word/2010/wordprocessingShape">
                    <wps:wsp>
                      <wps:cNvSpPr/>
                      <wps:spPr>
                        <a:xfrm>
                          <a:off x="0" y="0"/>
                          <a:ext cx="5577840" cy="441360"/>
                        </a:xfrm>
                        <a:custGeom>
                          <a:avLst/>
                          <a:gdLst/>
                          <a:ahLst/>
                          <a:rect l="l" t="t" r="r" b="b"/>
                          <a:pathLst>
                            <a:path w="5577840" h="568960">
                              <a:moveTo>
                                <a:pt x="0" y="477520"/>
                              </a:moveTo>
                              <a:lnTo>
                                <a:pt x="0" y="0"/>
                              </a:lnTo>
                              <a:lnTo>
                                <a:pt x="5486400" y="0"/>
                              </a:lnTo>
                              <a:cubicBezTo>
                                <a:pt x="5486400" y="159173"/>
                                <a:pt x="5577840" y="568960"/>
                                <a:pt x="5577840" y="568960"/>
                              </a:cubicBezTo>
                            </a:path>
                          </a:pathLst>
                        </a:custGeom>
                        <a:solidFill>
                          <a:srgbClr val="ffffff"/>
                        </a:solidFill>
                        <a:ln>
                          <a:noFill/>
                        </a:ln>
                      </wps:spPr>
                      <wps:style>
                        <a:lnRef idx="0"/>
                        <a:fillRef idx="0"/>
                        <a:effectRef idx="0"/>
                        <a:fontRef idx="minor"/>
                      </wps:style>
                      <wps:txbx>
                        <w:txbxContent>
                          <w:p>
                            <w:pPr>
                              <w:pStyle w:val="Caption1"/>
                              <w:spacing w:before="0" w:after="200"/>
                              <w:jc w:val="both"/>
                              <w:rPr>
                                <w:color w:val="auto"/>
                              </w:rPr>
                            </w:pPr>
                            <w:r>
                              <w:rPr>
                                <w:rFonts w:cs="Times New Roman" w:ascii="Times New Roman" w:hAnsi="Times New Roman"/>
                                <w:b w:val="false"/>
                                <w:i/>
                                <w:color w:val="auto"/>
                                <w:sz w:val="20"/>
                                <w:szCs w:val="20"/>
                              </w:rPr>
                              <w:t xml:space="preserve">Figure 2: Picture of X-Array (left-center) located in the position used for beta-gamma decay spectroscopy next to the </w:t>
                            </w:r>
                            <w:r>
                              <w:rPr>
                                <w:rFonts w:cs="Times New Roman" w:ascii="Times New Roman" w:hAnsi="Times New Roman"/>
                                <w:b w:val="false"/>
                                <w:i/>
                                <w:color w:val="auto"/>
                                <w:sz w:val="20"/>
                                <w:szCs w:val="20"/>
                                <w:vertAlign w:val="superscript"/>
                              </w:rPr>
                              <w:t>252</w:t>
                            </w:r>
                            <w:r>
                              <w:rPr>
                                <w:rFonts w:cs="Times New Roman" w:ascii="Times New Roman" w:hAnsi="Times New Roman"/>
                                <w:b w:val="false"/>
                                <w:i/>
                                <w:color w:val="auto"/>
                                <w:sz w:val="20"/>
                                <w:szCs w:val="20"/>
                              </w:rPr>
                              <w:t>Cf source (top left, behind the fence).</w:t>
                            </w:r>
                          </w:p>
                        </w:txbxContent>
                      </wps:txbx>
                      <wps:bodyPr lIns="0" rIns="0" tIns="0" bIns="0">
                        <a:prstTxWarp prst="textNoShape"/>
                        <a:noAutofit/>
                      </wps:bodyPr>
                    </wps:wsp>
                  </a:graphicData>
                </a:graphic>
              </wp:anchor>
            </w:drawing>
          </mc:Choice>
          <mc:Fallback>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 xml:space="preserve">Another detector system recently commissioned at the low-energy CARIBU beam line was the Total Absorption Gamma-ray Spectrometer (TAGS) on long-term loan from Idaho National Engineering Laboratory (Figure 3). The TAGS technique is used for calorimetric measurements of neutron-rich fission products for reactor “decay heat” calculations. This large-volume NaI detector has an efficiency of ~95% and had to be shielded by over 2,000 lbs of lead and borated-polyethylene to prevent environmental background radiation from contaminating spectra of neutron-rich isotopes. </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drawing>
          <wp:anchor behindDoc="0" distT="25400" distB="19050" distL="139700" distR="142875" simplePos="0" locked="0" layoutInCell="1" allowOverlap="1" relativeHeight="11">
            <wp:simplePos x="0" y="0"/>
            <wp:positionH relativeFrom="margin">
              <wp:align>center</wp:align>
            </wp:positionH>
            <wp:positionV relativeFrom="paragraph">
              <wp:posOffset>8255</wp:posOffset>
            </wp:positionV>
            <wp:extent cx="3654425" cy="2343150"/>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4"/>
                    <a:stretch>
                      <a:fillRect/>
                    </a:stretch>
                  </pic:blipFill>
                  <pic:spPr bwMode="auto">
                    <a:xfrm>
                      <a:off x="0" y="0"/>
                      <a:ext cx="3654425" cy="2343150"/>
                    </a:xfrm>
                    <a:prstGeom prst="rect">
                      <a:avLst/>
                    </a:prstGeom>
                    <a:ln w="19050">
                      <a:solidFill>
                        <a:srgbClr val="000000"/>
                      </a:solidFill>
                    </a:ln>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 xml:space="preserve"> </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2" wp14:anchorId="59AD3F61">
                <wp:simplePos x="0" y="0"/>
                <wp:positionH relativeFrom="margin">
                  <wp:align>center</wp:align>
                </wp:positionH>
                <wp:positionV relativeFrom="paragraph">
                  <wp:posOffset>330835</wp:posOffset>
                </wp:positionV>
                <wp:extent cx="5487035" cy="292735"/>
                <wp:effectExtent l="0" t="0" r="0" b="5080"/>
                <wp:wrapThrough wrapText="bothSides">
                  <wp:wrapPolygon edited="0">
                    <wp:start x="0" y="0"/>
                    <wp:lineTo x="0" y="20681"/>
                    <wp:lineTo x="21500" y="20681"/>
                    <wp:lineTo x="21500" y="0"/>
                    <wp:lineTo x="0" y="0"/>
                  </wp:wrapPolygon>
                </wp:wrapThrough>
                <wp:docPr id="8" name="Text Box 389171"/>
                <a:graphic xmlns:a="http://schemas.openxmlformats.org/drawingml/2006/main">
                  <a:graphicData uri="http://schemas.microsoft.com/office/word/2010/wordprocessingShape">
                    <wps:wsp>
                      <wps:cNvSpPr/>
                      <wps:spPr>
                        <a:xfrm>
                          <a:off x="0" y="0"/>
                          <a:ext cx="5486400" cy="29196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3: Picture of the shielded TAGS detector (center) installed with SATURN (left center) on the low-energy beam line in the CARIBU hall.</w:t>
                            </w:r>
                          </w:p>
                        </w:txbxContent>
                      </wps:txbx>
                      <wps:bodyPr lIns="0" rIns="0" tIns="0" bIns="0">
                        <a:prstTxWarp prst="textNoShape"/>
                        <a:spAutoFit/>
                      </wps:bodyPr>
                    </wps:wsp>
                  </a:graphicData>
                </a:graphic>
              </wp:anchor>
            </w:drawing>
          </mc:Choice>
          <mc:Fallback>
            <w:pict>
              <v:rect id="shape_0" ID="Text Box 389171" fillcolor="white" stroked="f" style="position:absolute;margin-left:0pt;margin-top:26.05pt;width:431.95pt;height:22.95pt;mso-position-horizontal:center;mso-position-horizontal-relative:margin" wp14:anchorId="59AD3F61">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3: Picture of the shielded TAGS detector (center) installed with SATURN (left center) on the low-energy beam line in the CARIBU hall.</w:t>
                      </w:r>
                    </w:p>
                  </w:txbxContent>
                </v:textbox>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However, over 2,000 lbs of lead proved to be insufficient for the high efficiency of the TAGS calorimeter. Inside the shielding, each of the seven photomultiplier tubes that view the sensitive volume of the NaI crystal were triggering at an average rate of 1,200 Hz (compared to 300 Hz in a testing room outside the CARIBU hall). This means that measurements cannot acquire sufficient statistics unless the beam intensity is on the order of 1,000 ions/sec, which is difficult to achieve for the most exotic short-lived nuclei.</w:t>
      </w:r>
    </w:p>
    <w:p>
      <w:pPr>
        <w:pStyle w:val="Normal"/>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1" allowOverlap="1" relativeHeight="13">
            <wp:simplePos x="0" y="0"/>
            <wp:positionH relativeFrom="margin">
              <wp:align>center</wp:align>
            </wp:positionH>
            <wp:positionV relativeFrom="paragraph">
              <wp:posOffset>91440</wp:posOffset>
            </wp:positionV>
            <wp:extent cx="5486400" cy="2973070"/>
            <wp:effectExtent l="0" t="0" r="0" b="0"/>
            <wp:wrapNone/>
            <wp:docPr id="1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8" descr=""/>
                    <pic:cNvPicPr>
                      <a:picLocks noChangeAspect="1" noChangeArrowheads="1"/>
                    </pic:cNvPicPr>
                  </pic:nvPicPr>
                  <pic:blipFill>
                    <a:blip r:embed="rId5"/>
                    <a:stretch>
                      <a:fillRect/>
                    </a:stretch>
                  </pic:blipFill>
                  <pic:spPr bwMode="auto">
                    <a:xfrm>
                      <a:off x="0" y="0"/>
                      <a:ext cx="5486400" cy="2973070"/>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4" wp14:anchorId="6F18844F">
                <wp:simplePos x="0" y="0"/>
                <wp:positionH relativeFrom="column">
                  <wp:posOffset>0</wp:posOffset>
                </wp:positionH>
                <wp:positionV relativeFrom="paragraph">
                  <wp:posOffset>84455</wp:posOffset>
                </wp:positionV>
                <wp:extent cx="5487035" cy="457835"/>
                <wp:effectExtent l="0" t="0" r="0" b="0"/>
                <wp:wrapNone/>
                <wp:docPr id="11" name="Text Box 389173"/>
                <a:graphic xmlns:a="http://schemas.openxmlformats.org/drawingml/2006/main">
                  <a:graphicData uri="http://schemas.microsoft.com/office/word/2010/wordprocessingShape">
                    <wps:wsp>
                      <wps:cNvSpPr/>
                      <wps:spPr>
                        <a:xfrm>
                          <a:off x="0" y="0"/>
                          <a:ext cx="5486400" cy="45720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4: TAGS spectrum collected for 8 hours in the low-energy CARIBU hall while inside the shielding structure.</w:t>
                            </w:r>
                          </w:p>
                        </w:txbxContent>
                      </wps:txbx>
                      <wps:bodyPr lIns="0" rIns="0" tIns="0" bIns="0">
                        <a:prstTxWarp prst="textNoShape"/>
                        <a:noAutofit/>
                      </wps:bodyPr>
                    </wps:wsp>
                  </a:graphicData>
                </a:graphic>
              </wp:anchor>
            </w:drawing>
          </mc:Choice>
          <mc:Fallback>
            <w:pict>
              <v:rect id="shape_0" ID="Text Box 389173" fillcolor="white" stroked="f" style="position:absolute;margin-left:0pt;margin-top:6.65pt;width:431.95pt;height:35.95pt" wp14:anchorId="6F18844F">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4: TAGS spectrum collected for 8 hours in the low-energy CARIBU hall while inside the shielding structure.</w:t>
                      </w:r>
                    </w:p>
                  </w:txbxContent>
                </v:textbox>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To overcome this background radiation, the most viable solution is to perform measurements outside of the current CARIBU hall. Plans have been made to remove the tandem tank that has been decommissioned from the ATLAS accelerator system. A beam line is being designed to send ions from CARIBU through the Electron Beam Ion Source (EBIS) charge breeder and into the tandem hall where the new low-energy experimental area will be. The observations of background impelled an investigation as to the exact sources of all the high-energy gamma-rays shown in Figure 1 and Figure 4, and required detailed comparison with the environment in the tandem area.</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sz w:val="28"/>
          <w:szCs w:val="28"/>
          <w:u w:val="single"/>
        </w:rPr>
      </w:pPr>
      <w:r>
        <w:rPr>
          <w:rFonts w:cs="Times New Roman" w:ascii="Times New Roman" w:hAnsi="Times New Roman"/>
          <w:sz w:val="28"/>
          <w:szCs w:val="28"/>
          <w:u w:val="single"/>
        </w:rPr>
        <w:t>CARIBU Background Measurement:</w:t>
      </w:r>
    </w:p>
    <w:p>
      <w:pPr>
        <w:pStyle w:val="Normal"/>
        <w:ind w:firstLine="720"/>
        <w:jc w:val="both"/>
        <w:rPr>
          <w:rFonts w:ascii="Times New Roman" w:hAnsi="Times New Roman" w:cs="Times New Roman"/>
        </w:rPr>
      </w:pPr>
      <w:r>
        <w:rPr>
          <w:rFonts w:cs="Times New Roman" w:ascii="Times New Roman" w:hAnsi="Times New Roman"/>
        </w:rPr>
        <w:t xml:space="preserve">Preliminary analysis of the background spectrum collected with X-Array revealed neutron-capture reactions, on materials in the </w:t>
      </w:r>
      <w:r>
        <w:rPr>
          <w:rFonts w:cs="Times New Roman" w:ascii="Times New Roman" w:hAnsi="Times New Roman"/>
          <w:vertAlign w:val="superscript"/>
        </w:rPr>
        <w:t>252</w:t>
      </w:r>
      <w:r>
        <w:rPr>
          <w:rFonts w:cs="Times New Roman" w:ascii="Times New Roman" w:hAnsi="Times New Roman"/>
        </w:rPr>
        <w:t xml:space="preserve">Cf shielding, as the primary source of high-energy radiation. The reaction </w:t>
      </w:r>
      <w:r>
        <w:rPr>
          <w:rFonts w:cs="Times New Roman" w:ascii="Times New Roman" w:hAnsi="Times New Roman"/>
          <w:vertAlign w:val="superscript"/>
        </w:rPr>
        <w:t>56</w:t>
      </w:r>
      <w:r>
        <w:rPr>
          <w:rFonts w:cs="Times New Roman" w:ascii="Times New Roman" w:hAnsi="Times New Roman"/>
        </w:rPr>
        <w:t>Fe(n,g)</w:t>
      </w:r>
      <w:r>
        <w:rPr>
          <w:rFonts w:cs="Times New Roman" w:ascii="Times New Roman" w:hAnsi="Times New Roman"/>
          <w:vertAlign w:val="superscript"/>
        </w:rPr>
        <w:t>57</w:t>
      </w:r>
      <w:r>
        <w:rPr>
          <w:rFonts w:cs="Times New Roman" w:ascii="Times New Roman" w:hAnsi="Times New Roman"/>
        </w:rPr>
        <w:t xml:space="preserve">Fe was originally identified from the gamma-rays at 7631 and 7645 keV, including the fact there is a large amount of steel in the </w:t>
      </w:r>
      <w:r>
        <w:rPr>
          <w:rFonts w:cs="Times New Roman" w:ascii="Times New Roman" w:hAnsi="Times New Roman"/>
          <w:vertAlign w:val="superscript"/>
        </w:rPr>
        <w:t>252</w:t>
      </w:r>
      <w:r>
        <w:rPr>
          <w:rFonts w:cs="Times New Roman" w:ascii="Times New Roman" w:hAnsi="Times New Roman"/>
        </w:rPr>
        <w:t>Cf cask. Steel is an iron-alloy that contains chromium (Cr) and small amounts of nickel (Ni), manganese (Mn), silicon (Si), sulfur (S), carbon (C), and phosphorus (P). Borated-polyethylene is also present within the shielding cask and around the gas-catcher to thermalize neutrons emitted during the fission process.</w:t>
      </w:r>
    </w:p>
    <w:p>
      <w:pPr>
        <w:pStyle w:val="Normal"/>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mc:AlternateContent>
          <mc:Choice Requires="wpg">
            <w:drawing>
              <wp:anchor behindDoc="0" distT="0" distB="0" distL="114300" distR="114300" simplePos="0" locked="0" layoutInCell="1" allowOverlap="1" relativeHeight="15" wp14:anchorId="0899D7A1">
                <wp:simplePos x="0" y="0"/>
                <wp:positionH relativeFrom="column">
                  <wp:posOffset>0</wp:posOffset>
                </wp:positionH>
                <wp:positionV relativeFrom="paragraph">
                  <wp:posOffset>635</wp:posOffset>
                </wp:positionV>
                <wp:extent cx="5485130" cy="4258945"/>
                <wp:effectExtent l="0" t="0" r="1905" b="8890"/>
                <wp:wrapNone/>
                <wp:docPr id="13" name="Group 389178"/>
                <a:graphic xmlns:a="http://schemas.openxmlformats.org/drawingml/2006/main">
                  <a:graphicData uri="http://schemas.microsoft.com/office/word/2010/wordprocessingGroup">
                    <wpg:wgp>
                      <wpg:cNvGrpSpPr/>
                      <wpg:grpSpPr>
                        <a:xfrm>
                          <a:off x="0" y="0"/>
                          <a:ext cx="5484600" cy="4258440"/>
                        </a:xfrm>
                      </wpg:grpSpPr>
                      <wps:wsp>
                        <wps:cNvSpPr/>
                        <wps:spPr>
                          <a:xfrm>
                            <a:off x="0" y="3650760"/>
                            <a:ext cx="5484600" cy="60768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5: The “super-clover” detector from X-Array (center, outlined in red) aligned with respect to the implant point of SATURN (left, at the arrow’s head) and the CARIBU gas-catcher (right, at the arrow’s base).</w:t>
                              </w:r>
                            </w:p>
                          </w:txbxContent>
                        </wps:txbx>
                        <wps:bodyPr lIns="0" rIns="0" tIns="0" bIns="0">
                          <a:noAutofit/>
                        </wps:bodyPr>
                      </wps:wsp>
                      <pic:pic xmlns:pic="http://schemas.openxmlformats.org/drawingml/2006/picture">
                        <pic:nvPicPr>
                          <pic:cNvPr id="0" name="Picture 29" descr=""/>
                          <pic:cNvPicPr/>
                        </pic:nvPicPr>
                        <pic:blipFill>
                          <a:blip r:embed="rId6"/>
                          <a:stretch/>
                        </pic:blipFill>
                        <pic:spPr>
                          <a:xfrm>
                            <a:off x="457200" y="0"/>
                            <a:ext cx="4570200" cy="3659400"/>
                          </a:xfrm>
                          <a:prstGeom prst="rect">
                            <a:avLst/>
                          </a:prstGeom>
                          <a:ln>
                            <a:noFill/>
                          </a:ln>
                        </pic:spPr>
                      </pic:pic>
                    </wpg:wgp>
                  </a:graphicData>
                </a:graphic>
              </wp:anchor>
            </w:drawing>
          </mc:Choice>
          <mc:Fallback>
            <w:pict>
              <v:group id="shape_0" alt="Group 389178" style="position:absolute;margin-left:0pt;margin-top:0pt;width:431.85pt;height:335.3pt" coordorigin="0,0" coordsize="8637,6706">
                <v:rect id="shape_0" ID="Text Box 10" fillcolor="white" stroked="f" style="position:absolute;left:0;top:5749;width:8636;height:956">
                  <v:textbo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5: The “super-clover” detector from X-Array (center, outlined in red) aligned with respect to the implant point of SATURN (left, at the arrow’s head) and the CARIBU gas-catcher (right, at the arrow’s base).</w:t>
                        </w:r>
                      </w:p>
                    </w:txbxContent>
                  </v:textbox>
                  <w10:wrap type="square"/>
                  <v:fill o:detectmouseclick="t" type="solid" color2="black"/>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9" stroked="f" style="position:absolute;left:720;top:0;width:7196;height:5762" type="shapetype_75">
                  <v:imagedata r:id="rId6" o:detectmouseclick="t"/>
                  <w10:wrap type="none"/>
                  <v:stroke color="#3465a4" joinstyle="round" endcap="flat"/>
                </v:shape>
              </v:group>
            </w:pict>
          </mc:Fallback>
        </mc:AlternateContent>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pPr>
      <w:r>
        <w:rPr/>
        <w:t xml:space="preserve"> </w:t>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g">
            <w:drawing>
              <wp:anchor behindDoc="0" distT="0" distB="0" distL="114300" distR="114300" simplePos="0" locked="0" layoutInCell="1" allowOverlap="1" relativeHeight="7" wp14:anchorId="65D8C2A3">
                <wp:simplePos x="0" y="0"/>
                <wp:positionH relativeFrom="column">
                  <wp:posOffset>0</wp:posOffset>
                </wp:positionH>
                <wp:positionV relativeFrom="paragraph">
                  <wp:posOffset>9525</wp:posOffset>
                </wp:positionV>
                <wp:extent cx="5487035" cy="3658235"/>
                <wp:effectExtent l="0" t="0" r="0" b="0"/>
                <wp:wrapNone/>
                <wp:docPr id="14" name="Group 389174"/>
                <a:graphic xmlns:a="http://schemas.openxmlformats.org/drawingml/2006/main">
                  <a:graphicData uri="http://schemas.microsoft.com/office/word/2010/wordprocessingGroup">
                    <wpg:wgp>
                      <wpg:cNvGrpSpPr/>
                      <wpg:grpSpPr>
                        <a:xfrm>
                          <a:off x="0" y="0"/>
                          <a:ext cx="5486400" cy="3657600"/>
                        </a:xfrm>
                      </wpg:grpSpPr>
                      <wps:wsp>
                        <wps:cNvSpPr/>
                        <wps:spPr>
                          <a:xfrm>
                            <a:off x="0" y="2904480"/>
                            <a:ext cx="5486400" cy="7531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6: Background spectrum collected for 8 hours approximately 2m from the CARIBU gas-catcher (with clover E4 only). Peaks corresponding to the primary sources of background have been labeled. All other peaks from 4-10 MeV are 1st and 2nd escape peaks of the primary sources.</w:t>
                              </w:r>
                            </w:p>
                          </w:txbxContent>
                        </wps:txbx>
                        <wps:bodyPr lIns="0" rIns="0" tIns="0" bIns="0">
                          <a:noAutofit/>
                        </wps:bodyPr>
                      </wps:wsp>
                      <pic:pic xmlns:pic="http://schemas.openxmlformats.org/drawingml/2006/picture">
                        <pic:nvPicPr>
                          <pic:cNvPr id="1" name="Picture 23" descr=""/>
                          <pic:cNvPicPr/>
                        </pic:nvPicPr>
                        <pic:blipFill>
                          <a:blip r:embed="rId7"/>
                          <a:stretch/>
                        </pic:blipFill>
                        <pic:spPr>
                          <a:xfrm>
                            <a:off x="0" y="0"/>
                            <a:ext cx="5486400" cy="2966040"/>
                          </a:xfrm>
                          <a:prstGeom prst="rect">
                            <a:avLst/>
                          </a:prstGeom>
                          <a:ln>
                            <a:noFill/>
                          </a:ln>
                        </pic:spPr>
                      </pic:pic>
                    </wpg:wgp>
                  </a:graphicData>
                </a:graphic>
              </wp:anchor>
            </w:drawing>
          </mc:Choice>
          <mc:Fallback>
            <w:pict>
              <v:group id="shape_0" alt="Group 389174" style="position:absolute;margin-left:0pt;margin-top:0.75pt;width:432pt;height:288pt" coordorigin="0,15" coordsize="8640,5760">
                <v:rect id="shape_0" ID="Text Box 1" fillcolor="white" stroked="f" style="position:absolute;left:0;top:4589;width:8639;height:1185">
                  <v:textbo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6: Background spectrum collected for 8 hours approximately 2m from the CARIBU gas-catcher (with clover E4 only). Peaks corresponding to the primary sources of background have been labeled. All other peaks from 4-10 MeV are 1st and 2nd escape peaks of the primary sources.</w:t>
                        </w:r>
                      </w:p>
                    </w:txbxContent>
                  </v:textbox>
                  <w10:wrap type="square"/>
                  <v:fill o:detectmouseclick="t" type="solid" color2="black"/>
                  <v:stroke color="#3465a4" joinstyle="round" endcap="flat"/>
                </v:rect>
                <v:shape id="shape_0" ID="Picture 23" stroked="f" style="position:absolute;left:0;top:15;width:8639;height:4670" type="shapetype_75">
                  <v:imagedata r:id="rId7" o:detectmouseclick="t"/>
                  <w10:wrap type="none"/>
                  <v:stroke color="#3465a4" joinstyle="round" endcap="flat"/>
                </v:shape>
              </v:group>
            </w:pict>
          </mc:Fallback>
        </mc:AlternateContent>
      </w:r>
    </w:p>
    <w:p>
      <w:pPr>
        <w:pStyle w:val="Normal"/>
        <w:jc w:val="both"/>
        <w:rPr/>
      </w:pPr>
      <w:r>
        <w:rPr/>
      </w:r>
    </w:p>
    <w:p>
      <w:pPr>
        <w:pStyle w:val="Normal"/>
        <w:jc w:val="both"/>
        <w:rPr/>
      </w:pPr>
      <w:r>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t>The “super-clover” (most efficient detector) was removed from X-Array and positioned approximately 2 meters away from the CARIBU gas-catcher (Figure 5) and aligned with the plastic scintillator of SATURN (where beam is implanted on the tape during experiments). A spectrum was collected (Figure 6) with crystal E4 for 8 hours. (Only one of the four crystals was used because only a single-channel analog MCA was available at the time of data collection).</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 xml:space="preserve">The spectrum in Figure 6 has many high-energy gamma-rays that originate from reactions other than </w:t>
      </w:r>
      <w:r>
        <w:rPr>
          <w:rFonts w:cs="Times New Roman" w:ascii="Times New Roman" w:hAnsi="Times New Roman"/>
          <w:vertAlign w:val="superscript"/>
        </w:rPr>
        <w:t>56</w:t>
      </w:r>
      <w:r>
        <w:rPr>
          <w:rFonts w:cs="Times New Roman" w:ascii="Times New Roman" w:hAnsi="Times New Roman"/>
        </w:rPr>
        <w:t>Fe(n,g)  (Table 1). It is important to note that the spectrum does not fall to zero counts until above 9.7 MeV. At 8 MeV, the continuum has approximately 70 counts, which corresponds to a count rate of ~9 counts per hour.</w:t>
      </w:r>
    </w:p>
    <w:p>
      <w:pPr>
        <w:pStyle w:val="Normal"/>
        <w:jc w:val="both"/>
        <w:rPr>
          <w:rFonts w:ascii="Times New Roman" w:hAnsi="Times New Roman" w:cs="Times New Roman"/>
        </w:rPr>
      </w:pPr>
      <w:r>
        <w:rPr>
          <w:rFonts w:cs="Times New Roman" w:ascii="Times New Roman" w:hAnsi="Times New Roman"/>
        </w:rPr>
      </w:r>
    </w:p>
    <w:p>
      <w:pPr>
        <w:pStyle w:val="Caption1"/>
        <w:keepNext w:val="true"/>
        <w:jc w:val="both"/>
        <w:rPr>
          <w:rFonts w:ascii="Times New Roman" w:hAnsi="Times New Roman" w:cs="Times New Roman"/>
          <w:b w:val="false"/>
          <w:b w:val="false"/>
          <w:color w:val="FF0000"/>
          <w:sz w:val="20"/>
          <w:szCs w:val="20"/>
        </w:rPr>
      </w:pPr>
      <w:r>
        <w:rPr>
          <w:rFonts w:cs="Times New Roman" w:ascii="Times New Roman" w:hAnsi="Times New Roman"/>
          <w:b w:val="false"/>
          <w:i/>
          <w:color w:val="auto"/>
          <w:sz w:val="20"/>
          <w:szCs w:val="20"/>
        </w:rPr>
        <w:t xml:space="preserve">Table 1: Identified sources of gamma-rays and peak areas (above the continuum) from the spectrum collected between X-Array and the CARIBU gas-catcher. </w:t>
      </w:r>
    </w:p>
    <w:p>
      <w:pPr>
        <w:sectPr>
          <w:headerReference w:type="default" r:id="rId8"/>
          <w:footerReference w:type="default" r:id="rId9"/>
          <w:type w:val="nextPage"/>
          <w:pgSz w:w="12240" w:h="15840"/>
          <w:pgMar w:left="1800" w:right="1800" w:header="720" w:top="1440" w:footer="720" w:bottom="1440" w:gutter="0"/>
          <w:pgNumType w:fmt="decimal"/>
          <w:formProt w:val="false"/>
          <w:textDirection w:val="lrTb"/>
          <w:docGrid w:type="default" w:linePitch="360" w:charSpace="0"/>
        </w:sectPr>
      </w:pPr>
    </w:p>
    <w:tbl>
      <w:tblPr>
        <w:tblStyle w:val="TableGrid"/>
        <w:tblW w:w="4176" w:type="dxa"/>
        <w:jc w:val="left"/>
        <w:tblInd w:w="0" w:type="dxa"/>
        <w:tblCellMar>
          <w:top w:w="0" w:type="dxa"/>
          <w:left w:w="108" w:type="dxa"/>
          <w:bottom w:w="0" w:type="dxa"/>
          <w:right w:w="108" w:type="dxa"/>
        </w:tblCellMar>
        <w:tblLook w:noVBand="1" w:val="04a0" w:noHBand="0" w:lastColumn="0" w:firstColumn="1" w:lastRow="0" w:firstRow="1"/>
      </w:tblPr>
      <w:tblGrid>
        <w:gridCol w:w="1008"/>
        <w:gridCol w:w="1709"/>
        <w:gridCol w:w="1459"/>
      </w:tblGrid>
      <w:tr>
        <w:trPr/>
        <w:tc>
          <w:tcPr>
            <w:tcW w:w="1008" w:type="dxa"/>
            <w:tcBorders/>
            <w:shd w:fill="auto" w:val="clear"/>
            <w:vAlign w:val="center"/>
          </w:tcPr>
          <w:p>
            <w:pPr>
              <w:pStyle w:val="Normal"/>
              <w:jc w:val="center"/>
              <w:rPr>
                <w:rFonts w:ascii="Times New Roman" w:hAnsi="Times New Roman" w:cs="Times New Roman"/>
                <w:b/>
                <w:b/>
                <w:sz w:val="20"/>
                <w:szCs w:val="20"/>
              </w:rPr>
            </w:pPr>
            <w:r>
              <w:rPr>
                <w:rFonts w:cs="Times New Roman" w:ascii="Times New Roman" w:hAnsi="Times New Roman"/>
                <w:b/>
                <w:sz w:val="20"/>
                <w:szCs w:val="20"/>
              </w:rPr>
              <w:t>E</w:t>
            </w:r>
            <w:r>
              <w:rPr>
                <w:rFonts w:cs="Times New Roman" w:ascii="Times New Roman" w:hAnsi="Times New Roman"/>
                <w:b/>
                <w:sz w:val="20"/>
                <w:szCs w:val="20"/>
                <w:vertAlign w:val="subscript"/>
              </w:rPr>
              <w:t>g</w:t>
            </w:r>
            <w:r>
              <w:rPr>
                <w:rFonts w:cs="Times New Roman" w:ascii="Times New Roman" w:hAnsi="Times New Roman"/>
                <w:b/>
                <w:sz w:val="20"/>
                <w:szCs w:val="20"/>
              </w:rPr>
              <w:t xml:space="preserve"> (keV)</w:t>
            </w:r>
          </w:p>
        </w:tc>
        <w:tc>
          <w:tcPr>
            <w:tcW w:w="1709" w:type="dxa"/>
            <w:tcBorders/>
            <w:shd w:fill="auto" w:val="clear"/>
            <w:vAlign w:val="center"/>
          </w:tcPr>
          <w:p>
            <w:pPr>
              <w:pStyle w:val="Normal"/>
              <w:jc w:val="center"/>
              <w:rPr>
                <w:rFonts w:ascii="Times New Roman" w:hAnsi="Times New Roman" w:cs="Times New Roman"/>
                <w:b/>
                <w:b/>
                <w:sz w:val="20"/>
                <w:szCs w:val="20"/>
              </w:rPr>
            </w:pPr>
            <w:r>
              <w:rPr>
                <w:rFonts w:cs="Times New Roman" w:ascii="Times New Roman" w:hAnsi="Times New Roman"/>
                <w:b/>
                <w:sz w:val="20"/>
                <w:szCs w:val="20"/>
              </w:rPr>
              <w:t>Source</w:t>
            </w:r>
          </w:p>
        </w:tc>
        <w:tc>
          <w:tcPr>
            <w:tcW w:w="1459" w:type="dxa"/>
            <w:tcBorders/>
            <w:shd w:fill="auto" w:val="clear"/>
            <w:vAlign w:val="center"/>
          </w:tcPr>
          <w:p>
            <w:pPr>
              <w:pStyle w:val="Normal"/>
              <w:jc w:val="center"/>
              <w:rPr>
                <w:rFonts w:ascii="Times New Roman" w:hAnsi="Times New Roman" w:cs="Times New Roman"/>
                <w:b/>
                <w:b/>
                <w:sz w:val="20"/>
                <w:szCs w:val="20"/>
              </w:rPr>
            </w:pPr>
            <w:r>
              <w:rPr>
                <w:rFonts w:cs="Times New Roman" w:ascii="Times New Roman" w:hAnsi="Times New Roman"/>
                <w:b/>
                <w:sz w:val="20"/>
                <w:szCs w:val="20"/>
              </w:rPr>
              <w:t>Peak Area</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511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e</w:t>
            </w:r>
            <w:r>
              <w:rPr>
                <w:rFonts w:cs="Times New Roman" w:ascii="Times New Roman" w:hAnsi="Times New Roman"/>
                <w:sz w:val="20"/>
                <w:szCs w:val="20"/>
                <w:vertAlign w:val="superscript"/>
              </w:rPr>
              <w:t>-</w:t>
            </w:r>
            <w:r>
              <w:rPr>
                <w:rFonts w:cs="Times New Roman" w:ascii="Times New Roman" w:hAnsi="Times New Roman"/>
                <w:sz w:val="20"/>
                <w:szCs w:val="20"/>
              </w:rPr>
              <w:t>/e</w:t>
            </w:r>
            <w:r>
              <w:rPr>
                <w:rFonts w:cs="Times New Roman" w:ascii="Times New Roman" w:hAnsi="Times New Roman"/>
                <w:sz w:val="20"/>
                <w:szCs w:val="20"/>
                <w:vertAlign w:val="superscript"/>
              </w:rPr>
              <w:t>+</w:t>
            </w:r>
            <w:r>
              <w:rPr>
                <w:rFonts w:cs="Times New Roman" w:ascii="Times New Roman" w:hAnsi="Times New Roman"/>
                <w:sz w:val="20"/>
                <w:szCs w:val="20"/>
              </w:rPr>
              <w:t xml:space="preserve"> annihilation</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458352</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1460.6</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40</w:t>
            </w:r>
            <w:r>
              <w:rPr>
                <w:rFonts w:cs="Times New Roman" w:ascii="Times New Roman" w:hAnsi="Times New Roman"/>
                <w:sz w:val="20"/>
                <w:szCs w:val="20"/>
              </w:rPr>
              <w:t>K (concrete)</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7091</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2223.3</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1</w:t>
            </w:r>
            <w:r>
              <w:rPr>
                <w:rFonts w:cs="Times New Roman" w:ascii="Times New Roman" w:hAnsi="Times New Roman"/>
                <w:sz w:val="20"/>
                <w:szCs w:val="20"/>
              </w:rPr>
              <w:t>H(n,g) (polyethylene)</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5469</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2614.5</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208</w:t>
            </w:r>
            <w:r>
              <w:rPr>
                <w:rFonts w:cs="Times New Roman" w:ascii="Times New Roman" w:hAnsi="Times New Roman"/>
                <w:sz w:val="20"/>
                <w:szCs w:val="20"/>
              </w:rPr>
              <w:t>Pb (radon gas)</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1279</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4218.7</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638</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4898.0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(5920)</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542</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4997.0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(5507)</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648</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5409.3</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(5920)</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1546</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5507.4</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1554</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5920.9</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1994</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6019.0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1804</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6254.2</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(7279)</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523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6608.7</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(7631)</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3082</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6623.1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(7645)</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2517</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6766.9</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(7279)</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1260</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7118.5</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(7631)</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7354</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7132.7</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(7645)</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5800</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7279.5</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1220</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7427.0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52</w:t>
            </w:r>
            <w:r>
              <w:rPr>
                <w:rFonts w:cs="Times New Roman" w:ascii="Times New Roman" w:hAnsi="Times New Roman"/>
                <w:sz w:val="20"/>
                <w:szCs w:val="20"/>
              </w:rPr>
              <w:t>Cr (7938)</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715</w:t>
            </w:r>
          </w:p>
        </w:tc>
      </w:tr>
      <w:tr>
        <w:trPr/>
        <w:tc>
          <w:tcPr>
            <w:tcW w:w="1008" w:type="dxa"/>
            <w:tcBorders/>
            <w:shd w:fill="auto" w:val="clear"/>
            <w:vAlign w:val="center"/>
          </w:tcPr>
          <w:p>
            <w:pPr>
              <w:pStyle w:val="Normal"/>
              <w:jc w:val="center"/>
              <w:rPr>
                <w:rFonts w:ascii="Times New Roman" w:hAnsi="Times New Roman" w:cs="Times New Roman"/>
                <w:color w:val="000000"/>
                <w:sz w:val="20"/>
                <w:szCs w:val="20"/>
              </w:rPr>
            </w:pPr>
            <w:r>
              <w:rPr>
                <w:rFonts w:cs="Times New Roman" w:ascii="Times New Roman" w:hAnsi="Times New Roman"/>
                <w:b/>
                <w:sz w:val="20"/>
                <w:szCs w:val="20"/>
              </w:rPr>
              <w:t>E</w:t>
            </w:r>
            <w:r>
              <w:rPr>
                <w:rFonts w:cs="Times New Roman" w:ascii="Times New Roman" w:hAnsi="Times New Roman"/>
                <w:b/>
                <w:sz w:val="20"/>
                <w:szCs w:val="20"/>
                <w:vertAlign w:val="subscript"/>
              </w:rPr>
              <w:t>g</w:t>
            </w:r>
            <w:r>
              <w:rPr>
                <w:rFonts w:cs="Times New Roman" w:ascii="Times New Roman" w:hAnsi="Times New Roman"/>
                <w:b/>
                <w:sz w:val="20"/>
                <w:szCs w:val="20"/>
              </w:rPr>
              <w:t xml:space="preserve"> (keV)</w:t>
            </w:r>
          </w:p>
        </w:tc>
        <w:tc>
          <w:tcPr>
            <w:tcW w:w="1709" w:type="dxa"/>
            <w:tcBorders/>
            <w:shd w:fill="auto" w:val="clear"/>
            <w:vAlign w:val="center"/>
          </w:tcPr>
          <w:p>
            <w:pPr>
              <w:pStyle w:val="Normal"/>
              <w:jc w:val="center"/>
              <w:rPr>
                <w:rFonts w:ascii="Times New Roman" w:hAnsi="Times New Roman" w:cs="Times New Roman"/>
                <w:sz w:val="20"/>
                <w:szCs w:val="20"/>
                <w:vertAlign w:val="superscript"/>
              </w:rPr>
            </w:pPr>
            <w:r>
              <w:rPr>
                <w:rFonts w:cs="Times New Roman" w:ascii="Times New Roman" w:hAnsi="Times New Roman"/>
                <w:b/>
                <w:sz w:val="20"/>
                <w:szCs w:val="20"/>
              </w:rPr>
              <w:t>Source</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b/>
                <w:sz w:val="20"/>
                <w:szCs w:val="20"/>
              </w:rPr>
              <w:t>Peak Area</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7631.9</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6853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7646.4</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4842</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7860.3</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53</w:t>
            </w:r>
            <w:r>
              <w:rPr>
                <w:rFonts w:cs="Times New Roman" w:ascii="Times New Roman" w:hAnsi="Times New Roman"/>
                <w:sz w:val="20"/>
                <w:szCs w:val="20"/>
              </w:rPr>
              <w:t>Cr (8884)</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679</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7939.1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52</w:t>
            </w:r>
            <w:r>
              <w:rPr>
                <w:rFonts w:cs="Times New Roman" w:ascii="Times New Roman" w:hAnsi="Times New Roman"/>
                <w:sz w:val="20"/>
                <w:szCs w:val="20"/>
              </w:rPr>
              <w:t>Cr(n,g)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531</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7973.8</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58</w:t>
            </w:r>
            <w:r>
              <w:rPr>
                <w:rFonts w:cs="Times New Roman" w:ascii="Times New Roman" w:hAnsi="Times New Roman"/>
                <w:sz w:val="20"/>
                <w:szCs w:val="20"/>
              </w:rPr>
              <w:t>Ni (8998)</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716</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8000.7</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50</w:t>
            </w:r>
            <w:r>
              <w:rPr>
                <w:rFonts w:cs="Times New Roman" w:ascii="Times New Roman" w:hAnsi="Times New Roman"/>
                <w:sz w:val="20"/>
                <w:szCs w:val="20"/>
              </w:rPr>
              <w:t>Cr (8512)</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373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color w:val="000000"/>
                <w:sz w:val="20"/>
                <w:szCs w:val="20"/>
              </w:rPr>
              <w:t>8021.9</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58</w:t>
            </w:r>
            <w:r>
              <w:rPr>
                <w:rFonts w:cs="Times New Roman" w:ascii="Times New Roman" w:hAnsi="Times New Roman"/>
                <w:sz w:val="20"/>
                <w:szCs w:val="20"/>
              </w:rPr>
              <w:t>Ni (8533)</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483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8274.6</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(9297)</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393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8372.1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53</w:t>
            </w:r>
            <w:r>
              <w:rPr>
                <w:rFonts w:cs="Times New Roman" w:ascii="Times New Roman" w:hAnsi="Times New Roman"/>
                <w:sz w:val="20"/>
                <w:szCs w:val="20"/>
              </w:rPr>
              <w:t>Cr (8884)</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1789</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8486.6</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58</w:t>
            </w:r>
            <w:r>
              <w:rPr>
                <w:rFonts w:cs="Times New Roman" w:ascii="Times New Roman" w:hAnsi="Times New Roman"/>
                <w:sz w:val="20"/>
                <w:szCs w:val="20"/>
              </w:rPr>
              <w:t>Ni (8998)</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1512</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8512.7</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50</w:t>
            </w:r>
            <w:r>
              <w:rPr>
                <w:rFonts w:cs="Times New Roman" w:ascii="Times New Roman" w:hAnsi="Times New Roman"/>
                <w:sz w:val="20"/>
                <w:szCs w:val="20"/>
              </w:rPr>
              <w:t>Cr(n,g)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374</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8534.4</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58</w:t>
            </w:r>
            <w:r>
              <w:rPr>
                <w:rFonts w:cs="Times New Roman" w:ascii="Times New Roman" w:hAnsi="Times New Roman"/>
                <w:sz w:val="20"/>
                <w:szCs w:val="20"/>
              </w:rPr>
              <w:t>Ni(n,g)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398</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8695.0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w:t>
            </w:r>
            <w:r>
              <w:rPr>
                <w:rFonts w:cs="Times New Roman" w:ascii="Times New Roman" w:hAnsi="Times New Roman"/>
                <w:sz w:val="20"/>
                <w:szCs w:val="20"/>
                <w:vertAlign w:val="superscript"/>
              </w:rPr>
              <w:t>nd</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53</w:t>
            </w:r>
            <w:r>
              <w:rPr>
                <w:rFonts w:cs="Times New Roman" w:ascii="Times New Roman" w:hAnsi="Times New Roman"/>
                <w:sz w:val="20"/>
                <w:szCs w:val="20"/>
              </w:rPr>
              <w:t>Cr (9719)</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233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8785.5</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56</w:t>
            </w:r>
            <w:r>
              <w:rPr>
                <w:rFonts w:cs="Times New Roman" w:ascii="Times New Roman" w:hAnsi="Times New Roman"/>
                <w:sz w:val="20"/>
                <w:szCs w:val="20"/>
              </w:rPr>
              <w:t>Fe (9297)</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953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8884.0</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53</w:t>
            </w:r>
            <w:r>
              <w:rPr>
                <w:rFonts w:cs="Times New Roman" w:ascii="Times New Roman" w:hAnsi="Times New Roman"/>
                <w:sz w:val="20"/>
                <w:szCs w:val="20"/>
              </w:rPr>
              <w:t>Cr(n,g)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1333</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8999.1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58</w:t>
            </w:r>
            <w:r>
              <w:rPr>
                <w:rFonts w:cs="Times New Roman" w:ascii="Times New Roman" w:hAnsi="Times New Roman"/>
                <w:sz w:val="20"/>
                <w:szCs w:val="20"/>
              </w:rPr>
              <w:t>Ni(n,g)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827</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9206.1</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1</w:t>
            </w:r>
            <w:r>
              <w:rPr>
                <w:rFonts w:cs="Times New Roman" w:ascii="Times New Roman" w:hAnsi="Times New Roman"/>
                <w:sz w:val="20"/>
                <w:szCs w:val="20"/>
                <w:vertAlign w:val="superscript"/>
              </w:rPr>
              <w:t>st</w:t>
            </w:r>
            <w:r>
              <w:rPr>
                <w:rFonts w:cs="Times New Roman" w:ascii="Times New Roman" w:hAnsi="Times New Roman"/>
                <w:sz w:val="20"/>
                <w:szCs w:val="20"/>
              </w:rPr>
              <w:t xml:space="preserve"> Escape of </w:t>
            </w:r>
            <w:r>
              <w:rPr>
                <w:rFonts w:cs="Times New Roman" w:ascii="Times New Roman" w:hAnsi="Times New Roman"/>
                <w:sz w:val="20"/>
                <w:szCs w:val="20"/>
                <w:vertAlign w:val="superscript"/>
              </w:rPr>
              <w:t>53</w:t>
            </w:r>
            <w:r>
              <w:rPr>
                <w:rFonts w:cs="Times New Roman" w:ascii="Times New Roman" w:hAnsi="Times New Roman"/>
                <w:sz w:val="20"/>
                <w:szCs w:val="20"/>
              </w:rPr>
              <w:t>Cr (9719)</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540</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9297.6</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56</w:t>
            </w:r>
            <w:r>
              <w:rPr>
                <w:rFonts w:cs="Times New Roman" w:ascii="Times New Roman" w:hAnsi="Times New Roman"/>
                <w:sz w:val="20"/>
                <w:szCs w:val="20"/>
              </w:rPr>
              <w:t>Fe(n,g)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751</w:t>
            </w:r>
          </w:p>
        </w:tc>
      </w:tr>
      <w:tr>
        <w:trPr/>
        <w:tc>
          <w:tcPr>
            <w:tcW w:w="1008"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9718.3</w:t>
            </w:r>
          </w:p>
        </w:tc>
        <w:tc>
          <w:tcPr>
            <w:tcW w:w="170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vertAlign w:val="superscript"/>
              </w:rPr>
              <w:t>53</w:t>
            </w:r>
            <w:r>
              <w:rPr>
                <w:rFonts w:cs="Times New Roman" w:ascii="Times New Roman" w:hAnsi="Times New Roman"/>
                <w:sz w:val="20"/>
                <w:szCs w:val="20"/>
              </w:rPr>
              <w:t>Cr(n,g)</w:t>
            </w:r>
          </w:p>
        </w:tc>
        <w:tc>
          <w:tcPr>
            <w:tcW w:w="1459" w:type="dxa"/>
            <w:tcBorders/>
            <w:shd w:fill="auto" w:val="clear"/>
            <w:vAlign w:val="center"/>
          </w:tcPr>
          <w:p>
            <w:pPr>
              <w:pStyle w:val="Normal"/>
              <w:jc w:val="center"/>
              <w:rPr>
                <w:rFonts w:ascii="Times New Roman" w:hAnsi="Times New Roman" w:cs="Times New Roman"/>
                <w:sz w:val="20"/>
                <w:szCs w:val="20"/>
              </w:rPr>
            </w:pPr>
            <w:r>
              <w:rPr>
                <w:rFonts w:cs="Times New Roman" w:ascii="Times New Roman" w:hAnsi="Times New Roman"/>
                <w:sz w:val="20"/>
                <w:szCs w:val="20"/>
              </w:rPr>
              <w:t>393</w:t>
            </w:r>
          </w:p>
        </w:tc>
      </w:tr>
    </w:tbl>
    <w:p>
      <w:pPr>
        <w:pStyle w:val="Normal"/>
        <w:rPr>
          <w:rFonts w:ascii="Times New Roman" w:hAnsi="Times New Roman" w:cs="Times New Roman"/>
          <w:b/>
          <w:b/>
          <w:color w:val="FF0000"/>
        </w:rPr>
      </w:pPr>
      <w:r>
        <w:rPr>
          <w:rFonts w:cs="Times New Roman" w:ascii="Times New Roman" w:hAnsi="Times New Roman"/>
          <w:b/>
          <w:color w:val="FF0000"/>
        </w:rPr>
      </w:r>
    </w:p>
    <w:p>
      <w:pPr>
        <w:sectPr>
          <w:type w:val="continuous"/>
          <w:pgSz w:w="12240" w:h="15840"/>
          <w:pgMar w:left="1800" w:right="1800" w:header="720" w:top="1440" w:footer="720" w:bottom="1440" w:gutter="0"/>
          <w:cols w:num="2" w:space="720" w:equalWidth="true" w:sep="false"/>
          <w:formProt w:val="false"/>
          <w:textDirection w:val="lrTb"/>
          <w:docGrid w:type="default" w:linePitch="360" w:charSpace="0"/>
        </w:sectPr>
      </w:pPr>
    </w:p>
    <w:p>
      <w:pPr>
        <w:pStyle w:val="Normal"/>
        <w:rPr>
          <w:rFonts w:ascii="Times New Roman" w:hAnsi="Times New Roman" w:cs="Times New Roman"/>
          <w:b/>
          <w:b/>
          <w:color w:val="FF0000"/>
        </w:rPr>
      </w:pPr>
      <w:r>
        <w:rPr>
          <w:rFonts w:cs="Times New Roman" w:ascii="Times New Roman" w:hAnsi="Times New Roman"/>
          <w:b/>
          <w:color w:val="FF0000"/>
        </w:rPr>
      </w:r>
    </w:p>
    <w:p>
      <w:pPr>
        <w:pStyle w:val="Normal"/>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rPr>
          <w:rFonts w:ascii="Times New Roman" w:hAnsi="Times New Roman" w:cs="Times New Roman"/>
        </w:rPr>
      </w:pPr>
      <w:r>
        <w:rPr>
          <w:rFonts w:cs="Times New Roman" w:ascii="Times New Roman" w:hAnsi="Times New Roman"/>
          <w:sz w:val="28"/>
          <w:szCs w:val="28"/>
          <w:u w:val="single"/>
        </w:rPr>
        <w:t xml:space="preserve">Tandem Area Measurement 1: </w:t>
      </w:r>
    </w:p>
    <w:p>
      <w:pPr>
        <w:pStyle w:val="Normal"/>
        <w:jc w:val="both"/>
        <w:rPr>
          <w:rFonts w:ascii="Times New Roman" w:hAnsi="Times New Roman" w:cs="Times New Roman"/>
        </w:rPr>
      </w:pPr>
      <w:r>
        <w:drawing>
          <wp:anchor behindDoc="0" distT="25400" distB="14605" distL="139700" distR="127635" simplePos="0" locked="0" layoutInCell="1" allowOverlap="1" relativeHeight="17">
            <wp:simplePos x="0" y="0"/>
            <wp:positionH relativeFrom="column">
              <wp:posOffset>2857500</wp:posOffset>
            </wp:positionH>
            <wp:positionV relativeFrom="paragraph">
              <wp:posOffset>138430</wp:posOffset>
            </wp:positionV>
            <wp:extent cx="2679065" cy="3719195"/>
            <wp:effectExtent l="0" t="0" r="0" b="0"/>
            <wp:wrapTight wrapText="bothSides">
              <wp:wrapPolygon edited="0">
                <wp:start x="-214" y="-146"/>
                <wp:lineTo x="-214" y="21525"/>
                <wp:lineTo x="21500" y="21525"/>
                <wp:lineTo x="21500" y="-146"/>
                <wp:lineTo x="-214" y="-146"/>
              </wp:wrapPolygon>
            </wp:wrapTight>
            <wp:docPr id="16"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
                    <pic:cNvPicPr>
                      <a:picLocks noChangeAspect="1" noChangeArrowheads="1"/>
                    </pic:cNvPicPr>
                  </pic:nvPicPr>
                  <pic:blipFill>
                    <a:blip r:embed="rId10"/>
                    <a:stretch>
                      <a:fillRect/>
                    </a:stretch>
                  </pic:blipFill>
                  <pic:spPr bwMode="auto">
                    <a:xfrm>
                      <a:off x="0" y="0"/>
                      <a:ext cx="2679065" cy="3719195"/>
                    </a:xfrm>
                    <a:prstGeom prst="rect">
                      <a:avLst/>
                    </a:prstGeom>
                    <a:ln w="19050">
                      <a:solidFill>
                        <a:srgbClr val="000000"/>
                      </a:solidFill>
                    </a:ln>
                  </pic:spPr>
                </pic:pic>
              </a:graphicData>
            </a:graphic>
          </wp:anchor>
        </w:drawing>
      </w:r>
      <w:r>
        <w:rPr>
          <w:rFonts w:cs="Times New Roman" w:ascii="Times New Roman" w:hAnsi="Times New Roman"/>
        </w:rPr>
        <w:tab/>
      </w:r>
      <w:r>
        <w:rPr>
          <w:rFonts w:cs="Times New Roman" w:ascii="Times New Roman" w:hAnsi="Times New Roman"/>
        </w:rPr>
        <w:t>The first measurement in the tandem hall was taken roughly 3.5 meters away from the edge of the tank on the “ATLAS side”. Background was collected for 8 hours with no known radioactive sources near the detector.</w:t>
      </w:r>
    </w:p>
    <w:p>
      <w:pPr>
        <w:pStyle w:val="Normal"/>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t xml:space="preserve">The spectrum has many more peaks than anticipated, likely due to the long-lived decay of materials activated in the tank during its time of operation. However, the two most significant features are: (i) there are no peaks greater in energy than the 2614-keV gamma-ray from </w:t>
      </w:r>
      <w:r>
        <w:rPr>
          <w:rFonts w:cs="Times New Roman" w:ascii="Times New Roman" w:hAnsi="Times New Roman"/>
          <w:vertAlign w:val="superscript"/>
        </w:rPr>
        <w:t>208</w:t>
      </w:r>
      <w:r>
        <w:rPr>
          <w:rFonts w:cs="Times New Roman" w:ascii="Times New Roman" w:hAnsi="Times New Roman"/>
        </w:rPr>
        <w:t>Pb, and (ii) the “ski ramp” of low-energy counts is two orders of magnitude lower than in the CARIBU hall.</w:t>
      </w:r>
    </w:p>
    <w:p>
      <w:pPr>
        <w:pStyle w:val="Normal"/>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6" wp14:anchorId="4EA73E35">
                <wp:simplePos x="0" y="0"/>
                <wp:positionH relativeFrom="column">
                  <wp:posOffset>0</wp:posOffset>
                </wp:positionH>
                <wp:positionV relativeFrom="paragraph">
                  <wp:posOffset>245110</wp:posOffset>
                </wp:positionV>
                <wp:extent cx="2629535" cy="800735"/>
                <wp:effectExtent l="0" t="0" r="12700" b="12700"/>
                <wp:wrapThrough wrapText="bothSides">
                  <wp:wrapPolygon edited="0">
                    <wp:start x="0" y="0"/>
                    <wp:lineTo x="0" y="21257"/>
                    <wp:lineTo x="21496" y="21257"/>
                    <wp:lineTo x="21496" y="0"/>
                    <wp:lineTo x="0" y="0"/>
                  </wp:wrapPolygon>
                </wp:wrapThrough>
                <wp:docPr id="17" name="Text Box 18"/>
                <a:graphic xmlns:a="http://schemas.openxmlformats.org/drawingml/2006/main">
                  <a:graphicData uri="http://schemas.microsoft.com/office/word/2010/wordprocessingShape">
                    <wps:wsp>
                      <wps:cNvSpPr/>
                      <wps:spPr>
                        <a:xfrm>
                          <a:off x="0" y="0"/>
                          <a:ext cx="2629080" cy="80028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7 (right): Position of “super-clover” in the tandem area located on the “ATLAS side” and aligned with the center of the tandem tank (Tandem 1).</w:t>
                            </w:r>
                          </w:p>
                        </w:txbxContent>
                      </wps:txbx>
                      <wps:bodyPr lIns="0" rIns="0" tIns="0" bIns="0">
                        <a:prstTxWarp prst="textNoShape"/>
                        <a:noAutofit/>
                      </wps:bodyPr>
                    </wps:wsp>
                  </a:graphicData>
                </a:graphic>
              </wp:anchor>
            </w:drawing>
          </mc:Choice>
          <mc:Fallback>
            <w:pict>
              <v:rect id="shape_0" ID="Text Box 18" fillcolor="white" stroked="f" style="position:absolute;margin-left:0pt;margin-top:19.3pt;width:206.95pt;height:62.95pt" wp14:anchorId="4EA73E35">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7 (right): Position of “super-clover” in the tandem area located on the “ATLAS side” and aligned with the center of the tandem tank (Tandem 1).</w:t>
                      </w:r>
                    </w:p>
                  </w:txbxContent>
                </v:textbox>
              </v:rect>
            </w:pict>
          </mc:Fallback>
        </mc:AlternateContent>
      </w:r>
    </w:p>
    <w:p>
      <w:pPr>
        <w:pStyle w:val="Normal"/>
        <w:rPr>
          <w:rFonts w:ascii="Times New Roman" w:hAnsi="Times New Roman" w:cs="Times New Roman"/>
        </w:rPr>
      </w:pP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mc:AlternateContent>
          <mc:Choice Requires="wpg">
            <w:drawing>
              <wp:anchor behindDoc="0" distT="0" distB="0" distL="114300" distR="114300" simplePos="0" locked="0" layoutInCell="1" allowOverlap="1" relativeHeight="8" wp14:anchorId="39E3DC07">
                <wp:simplePos x="0" y="0"/>
                <wp:positionH relativeFrom="column">
                  <wp:posOffset>0</wp:posOffset>
                </wp:positionH>
                <wp:positionV relativeFrom="paragraph">
                  <wp:posOffset>76200</wp:posOffset>
                </wp:positionV>
                <wp:extent cx="5487035" cy="3338830"/>
                <wp:effectExtent l="0" t="0" r="0" b="0"/>
                <wp:wrapNone/>
                <wp:docPr id="19" name="Group 389181"/>
                <a:graphic xmlns:a="http://schemas.openxmlformats.org/drawingml/2006/main">
                  <a:graphicData uri="http://schemas.microsoft.com/office/word/2010/wordprocessingGroup">
                    <wpg:wgp>
                      <wpg:cNvGrpSpPr/>
                      <wpg:grpSpPr>
                        <a:xfrm>
                          <a:off x="0" y="0"/>
                          <a:ext cx="5486400" cy="3338280"/>
                        </a:xfrm>
                      </wpg:grpSpPr>
                      <wps:wsp>
                        <wps:cNvSpPr/>
                        <wps:spPr>
                          <a:xfrm>
                            <a:off x="0" y="2951640"/>
                            <a:ext cx="5486400" cy="38664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8: Background spectrum collected on the “ATLAS side” of the tandem tank for 8 hours (Tandem 1).</w:t>
                              </w:r>
                            </w:p>
                          </w:txbxContent>
                        </wps:txbx>
                        <wps:bodyPr lIns="0" rIns="0" tIns="0" bIns="0">
                          <a:noAutofit/>
                        </wps:bodyPr>
                      </wps:wsp>
                      <pic:pic xmlns:pic="http://schemas.openxmlformats.org/drawingml/2006/picture">
                        <pic:nvPicPr>
                          <pic:cNvPr id="2" name="Picture 24" descr=""/>
                          <pic:cNvPicPr/>
                        </pic:nvPicPr>
                        <pic:blipFill>
                          <a:blip r:embed="rId11"/>
                          <a:stretch/>
                        </pic:blipFill>
                        <pic:spPr>
                          <a:xfrm>
                            <a:off x="0" y="0"/>
                            <a:ext cx="5486400" cy="2942640"/>
                          </a:xfrm>
                          <a:prstGeom prst="rect">
                            <a:avLst/>
                          </a:prstGeom>
                          <a:ln>
                            <a:noFill/>
                          </a:ln>
                        </pic:spPr>
                      </pic:pic>
                    </wpg:wgp>
                  </a:graphicData>
                </a:graphic>
              </wp:anchor>
            </w:drawing>
          </mc:Choice>
          <mc:Fallback>
            <w:pict>
              <v:group id="shape_0" alt="Group 389181" style="position:absolute;margin-left:0pt;margin-top:6pt;width:432pt;height:262.9pt" coordorigin="0,120" coordsize="8640,5258">
                <v:rect id="shape_0" ID="Text Box 13" fillcolor="white" stroked="f" style="position:absolute;left:0;top:4768;width:8639;height:608">
                  <v:textbo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8: Background spectrum collected on the “ATLAS side” of the tandem tank for 8 hours (Tandem 1).</w:t>
                        </w:r>
                      </w:p>
                    </w:txbxContent>
                  </v:textbox>
                  <w10:wrap type="square"/>
                  <v:fill o:detectmouseclick="t" type="solid" color2="black"/>
                  <v:stroke color="#3465a4" joinstyle="round" endcap="flat"/>
                </v:rect>
                <v:shape id="shape_0" ID="Picture 24" stroked="f" style="position:absolute;left:0;top:120;width:8639;height:4633" type="shapetype_75">
                  <v:imagedata r:id="rId11" o:detectmouseclick="t"/>
                  <w10:wrap type="none"/>
                  <v:stroke color="#3465a4" joinstyle="round" endcap="flat"/>
                </v:shape>
              </v:group>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sz w:val="28"/>
          <w:szCs w:val="28"/>
          <w:u w:val="single"/>
        </w:rPr>
        <w:t xml:space="preserve">Tandem Area Measurement 2: </w:t>
      </w:r>
    </w:p>
    <w:p>
      <w:pPr>
        <w:pStyle w:val="Normal"/>
        <w:jc w:val="both"/>
        <w:rPr>
          <w:rFonts w:ascii="Times New Roman" w:hAnsi="Times New Roman" w:cs="Times New Roman"/>
        </w:rPr>
      </w:pPr>
      <w:r>
        <mc:AlternateContent>
          <mc:Choice Requires="wpg">
            <w:drawing>
              <wp:anchor behindDoc="0" distT="0" distB="0" distL="114300" distR="114300" simplePos="0" locked="0" layoutInCell="1" allowOverlap="1" relativeHeight="5" wp14:anchorId="4AE022FC">
                <wp:simplePos x="0" y="0"/>
                <wp:positionH relativeFrom="column">
                  <wp:posOffset>-113665</wp:posOffset>
                </wp:positionH>
                <wp:positionV relativeFrom="paragraph">
                  <wp:posOffset>877570</wp:posOffset>
                </wp:positionV>
                <wp:extent cx="5715635" cy="2058035"/>
                <wp:effectExtent l="25400" t="25400" r="25400" b="25400"/>
                <wp:wrapThrough wrapText="bothSides">
                  <wp:wrapPolygon edited="0">
                    <wp:start x="-96" y="-267"/>
                    <wp:lineTo x="-96" y="21600"/>
                    <wp:lineTo x="21600" y="21600"/>
                    <wp:lineTo x="21600" y="-267"/>
                    <wp:lineTo x="-96" y="-267"/>
                  </wp:wrapPolygon>
                </wp:wrapThrough>
                <wp:docPr id="20" name="Group 23"/>
                <a:graphic xmlns:a="http://schemas.openxmlformats.org/drawingml/2006/main">
                  <a:graphicData uri="http://schemas.microsoft.com/office/word/2010/wordprocessingGroup">
                    <wpg:wgp>
                      <wpg:cNvGrpSpPr/>
                      <wpg:grpSpPr>
                        <a:xfrm>
                          <a:off x="0" y="0"/>
                          <a:ext cx="5715000" cy="2057400"/>
                        </a:xfrm>
                      </wpg:grpSpPr>
                      <pic:pic xmlns:pic="http://schemas.openxmlformats.org/drawingml/2006/picture">
                        <pic:nvPicPr>
                          <pic:cNvPr id="3" name="Picture 9" descr=""/>
                          <pic:cNvPicPr/>
                        </pic:nvPicPr>
                        <pic:blipFill>
                          <a:blip r:embed="rId12"/>
                          <a:stretch/>
                        </pic:blipFill>
                        <pic:spPr>
                          <a:xfrm>
                            <a:off x="1477800" y="0"/>
                            <a:ext cx="2892600" cy="2057400"/>
                          </a:xfrm>
                          <a:prstGeom prst="rect">
                            <a:avLst/>
                          </a:prstGeom>
                          <a:ln w="19080">
                            <a:solidFill>
                              <a:schemeClr val="tx1"/>
                            </a:solidFill>
                            <a:round/>
                          </a:ln>
                        </pic:spPr>
                      </pic:pic>
                      <pic:pic xmlns:pic="http://schemas.openxmlformats.org/drawingml/2006/picture">
                        <pic:nvPicPr>
                          <pic:cNvPr id="4" name="Picture 10" descr=""/>
                          <pic:cNvPicPr/>
                        </pic:nvPicPr>
                        <pic:blipFill>
                          <a:blip r:embed="rId13"/>
                          <a:stretch/>
                        </pic:blipFill>
                        <pic:spPr>
                          <a:xfrm>
                            <a:off x="0" y="0"/>
                            <a:ext cx="1390680" cy="2053440"/>
                          </a:xfrm>
                          <a:prstGeom prst="rect">
                            <a:avLst/>
                          </a:prstGeom>
                          <a:ln w="19080">
                            <a:solidFill>
                              <a:schemeClr val="tx1"/>
                            </a:solidFill>
                            <a:round/>
                          </a:ln>
                        </pic:spPr>
                      </pic:pic>
                      <pic:pic xmlns:pic="http://schemas.openxmlformats.org/drawingml/2006/picture">
                        <pic:nvPicPr>
                          <pic:cNvPr id="5" name="Picture 11" descr=""/>
                          <pic:cNvPicPr/>
                        </pic:nvPicPr>
                        <pic:blipFill>
                          <a:blip r:embed="rId14"/>
                          <a:stretch/>
                        </pic:blipFill>
                        <pic:spPr>
                          <a:xfrm>
                            <a:off x="4433040" y="0"/>
                            <a:ext cx="1281960" cy="2044800"/>
                          </a:xfrm>
                          <a:prstGeom prst="rect">
                            <a:avLst/>
                          </a:prstGeom>
                          <a:ln w="19080">
                            <a:solidFill>
                              <a:schemeClr val="tx1"/>
                            </a:solidFill>
                            <a:round/>
                          </a:ln>
                        </pic:spPr>
                      </pic:pic>
                    </wpg:wgp>
                  </a:graphicData>
                </a:graphic>
              </wp:anchor>
            </w:drawing>
          </mc:Choice>
          <mc:Fallback>
            <w:pict>
              <v:group id="shape_0" alt="Group 23" style="position:absolute;margin-left:-8.95pt;margin-top:69.1pt;width:450pt;height:162pt" coordorigin="-179,1382" coordsize="9000,3240">
                <v:shape id="shape_0" ID="Picture 9" stroked="t" style="position:absolute;left:2148;top:1382;width:4554;height:3239" type="shapetype_75">
                  <v:imagedata r:id="rId12" o:detectmouseclick="t"/>
                  <w10:wrap type="none"/>
                  <v:stroke color="black" weight="19080" joinstyle="round" endcap="flat"/>
                </v:shape>
                <v:shape id="shape_0" ID="Picture 10" stroked="t" style="position:absolute;left:-179;top:1382;width:2189;height:3233" type="shapetype_75">
                  <v:imagedata r:id="rId13" o:detectmouseclick="t"/>
                  <w10:wrap type="none"/>
                  <v:stroke color="black" weight="19080" joinstyle="round" endcap="flat"/>
                </v:shape>
                <v:shape id="shape_0" ID="Picture 11" stroked="t" style="position:absolute;left:6802;top:1382;width:2018;height:3219" type="shapetype_75">
                  <v:imagedata r:id="rId14" o:detectmouseclick="t"/>
                  <w10:wrap type="none"/>
                  <v:stroke color="black" weight="19080" joinstyle="round" endcap="flat"/>
                </v:shape>
              </v:group>
            </w:pict>
          </mc:Fallback>
        </mc:AlternateContent>
      </w:r>
      <w:r>
        <w:rPr>
          <w:rFonts w:cs="Times New Roman" w:ascii="Times New Roman" w:hAnsi="Times New Roman"/>
        </w:rPr>
        <w:tab/>
        <w:t>The second measurement in the tandem area was made approximately 1.75 meters away from where the beam line will come from EBIS (in the direction away from ATLAS) and about 1.25 meters away (perpendicular) from the wall. Background was collected for 8 hours again with no known radioactive sources near the detector.</w:t>
      </w:r>
    </w:p>
    <w:p>
      <w:pPr>
        <w:pStyle w:val="Normal"/>
        <w:jc w:val="both"/>
        <w:rPr>
          <w:rFonts w:ascii="Times New Roman" w:hAnsi="Times New Roman" w:cs="Times New Roman"/>
        </w:rPr>
      </w:pPr>
      <w:r>
        <mc:AlternateContent>
          <mc:Choice Requires="wps">
            <w:drawing>
              <wp:anchor behindDoc="0" distT="0" distB="0" distL="114300" distR="114300" simplePos="0" locked="0" layoutInCell="1" allowOverlap="1" relativeHeight="6" wp14:anchorId="76096B1C">
                <wp:simplePos x="0" y="0"/>
                <wp:positionH relativeFrom="column">
                  <wp:posOffset>-88900</wp:posOffset>
                </wp:positionH>
                <wp:positionV relativeFrom="paragraph">
                  <wp:posOffset>19685</wp:posOffset>
                </wp:positionV>
                <wp:extent cx="5652135" cy="393700"/>
                <wp:effectExtent l="0" t="0" r="12700" b="0"/>
                <wp:wrapThrough wrapText="bothSides">
                  <wp:wrapPolygon edited="0">
                    <wp:start x="0" y="0"/>
                    <wp:lineTo x="0" y="19541"/>
                    <wp:lineTo x="21551" y="19541"/>
                    <wp:lineTo x="21551" y="0"/>
                    <wp:lineTo x="0" y="0"/>
                  </wp:wrapPolygon>
                </wp:wrapThrough>
                <wp:docPr id="21" name="Text Box 24"/>
                <a:graphic xmlns:a="http://schemas.openxmlformats.org/drawingml/2006/main">
                  <a:graphicData uri="http://schemas.microsoft.com/office/word/2010/wordprocessingShape">
                    <wps:wsp>
                      <wps:cNvSpPr/>
                      <wps:spPr>
                        <a:xfrm>
                          <a:off x="0" y="0"/>
                          <a:ext cx="5651640" cy="39312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9: Position of the “super-clover” (center) with respect to the proposed beam line from EBIS (left, dark black cross) and the tandem tank (right) (Tandem 2).</w:t>
                            </w:r>
                          </w:p>
                        </w:txbxContent>
                      </wps:txbx>
                      <wps:bodyPr lIns="0" rIns="0" tIns="0" bIns="0">
                        <a:prstTxWarp prst="textNoShape"/>
                        <a:noAutofit/>
                      </wps:bodyPr>
                    </wps:wsp>
                  </a:graphicData>
                </a:graphic>
              </wp:anchor>
            </w:drawing>
          </mc:Choice>
          <mc:Fallback>
            <w:pict>
              <v:rect id="shape_0" ID="Text Box 24" fillcolor="white" stroked="f" style="position:absolute;margin-left:-7pt;margin-top:1.55pt;width:444.95pt;height:30.9pt" wp14:anchorId="76096B1C">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9: Position of the “super-clover” (center) with respect to the proposed beam line from EBIS (left, dark black cross) and the tandem tank (right) (Tandem 2).</w:t>
                      </w:r>
                    </w:p>
                  </w:txbxContent>
                </v:textbox>
              </v:rect>
            </w:pict>
          </mc:Fallback>
        </mc:AlternateContent>
      </w:r>
      <w:r>
        <w:rPr>
          <w:rFonts w:cs="Times New Roman" w:ascii="Times New Roman" w:hAnsi="Times New Roman"/>
        </w:rPr>
        <w:tab/>
        <w:t>The same peaks are seen as in the Tandem 1 measurement, but with greater intensity. This shows that the tandem tank is the primary source of environmental background radiation in this area. However, it is not possible to determine the source of origin (radioactive nucleus) by gamma-ray energy alone. There are 1000s of nuclei that emit low-energy gamma-rays below 2614 keV. More information is needed, namely the half-life, before the exact source can be determined. This will require repeated measurements of the long-lived activity (one 8-hour collection period per month) in order to plot counts vs. time and extract half-life information from the data.</w:t>
      </w:r>
    </w:p>
    <w:p>
      <w:pPr>
        <w:pStyle w:val="Normal"/>
        <w:rPr>
          <w:rFonts w:ascii="Times New Roman" w:hAnsi="Times New Roman" w:cs="Times New Roman"/>
        </w:rPr>
      </w:pPr>
      <w:r>
        <w:rPr>
          <w:rFonts w:cs="Times New Roman" w:ascii="Times New Roman" w:hAnsi="Times New Roman"/>
        </w:rPr>
        <mc:AlternateContent>
          <mc:Choice Requires="wpg">
            <w:drawing>
              <wp:anchor behindDoc="0" distT="0" distB="0" distL="114300" distR="114300" simplePos="0" locked="0" layoutInCell="1" allowOverlap="1" relativeHeight="9" wp14:anchorId="1017174C">
                <wp:simplePos x="0" y="0"/>
                <wp:positionH relativeFrom="column">
                  <wp:posOffset>0</wp:posOffset>
                </wp:positionH>
                <wp:positionV relativeFrom="paragraph">
                  <wp:posOffset>3175</wp:posOffset>
                </wp:positionV>
                <wp:extent cx="5487035" cy="3213100"/>
                <wp:effectExtent l="0" t="0" r="0" b="1270"/>
                <wp:wrapNone/>
                <wp:docPr id="23" name="Group 389182"/>
                <a:graphic xmlns:a="http://schemas.openxmlformats.org/drawingml/2006/main">
                  <a:graphicData uri="http://schemas.microsoft.com/office/word/2010/wordprocessingGroup">
                    <wpg:wgp>
                      <wpg:cNvGrpSpPr/>
                      <wpg:grpSpPr>
                        <a:xfrm>
                          <a:off x="0" y="0"/>
                          <a:ext cx="5486400" cy="3212640"/>
                        </a:xfrm>
                      </wpg:grpSpPr>
                      <wps:wsp>
                        <wps:cNvSpPr/>
                        <wps:spPr>
                          <a:xfrm>
                            <a:off x="0" y="2919600"/>
                            <a:ext cx="5486400" cy="29268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10: Gamma-singles spectrum collected approximately 0.75 meters from the tandem tank (Tandem 2), and close to where the beam line will come from EBIS.</w:t>
                              </w:r>
                            </w:p>
                          </w:txbxContent>
                        </wps:txbx>
                        <wps:bodyPr lIns="0" rIns="0" tIns="0" bIns="0">
                          <a:spAutoFit/>
                        </wps:bodyPr>
                      </wps:wsp>
                      <pic:pic xmlns:pic="http://schemas.openxmlformats.org/drawingml/2006/picture">
                        <pic:nvPicPr>
                          <pic:cNvPr id="6" name="Picture 26" descr=""/>
                          <pic:cNvPicPr/>
                        </pic:nvPicPr>
                        <pic:blipFill>
                          <a:blip r:embed="rId15"/>
                          <a:stretch/>
                        </pic:blipFill>
                        <pic:spPr>
                          <a:xfrm>
                            <a:off x="0" y="0"/>
                            <a:ext cx="5485680" cy="2940120"/>
                          </a:xfrm>
                          <a:prstGeom prst="rect">
                            <a:avLst/>
                          </a:prstGeom>
                          <a:ln>
                            <a:noFill/>
                          </a:ln>
                        </pic:spPr>
                      </pic:pic>
                    </wpg:wgp>
                  </a:graphicData>
                </a:graphic>
              </wp:anchor>
            </w:drawing>
          </mc:Choice>
          <mc:Fallback>
            <w:pict>
              <v:group id="shape_0" alt="Group 389182" style="position:absolute;margin-left:0pt;margin-top:0.25pt;width:432pt;height:252.95pt" coordorigin="0,5" coordsize="8640,5059">
                <v:rect id="shape_0" ID="Text Box 389160" fillcolor="white" stroked="f" style="position:absolute;left:0;top:4603;width:8639;height:460">
                  <v:textbox>
                    <w:txbxContent>
                      <w:p>
                        <w:pPr>
                          <w:overflowPunct w:val="false"/>
                          <w:spacing w:before="0" w:after="0" w:lineRule="auto" w:line="240"/>
                          <w:jc w:val="both"/>
                          <w:rPr/>
                        </w:pPr>
                        <w:r>
                          <w:rPr>
                            <w:spacing w:val="0"/>
                            <w:smallCaps w:val="false"/>
                            <w:caps w:val="false"/>
                            <w:iCs/>
                            <w:bCs w:val="false"/>
                            <w:szCs w:val="20"/>
                            <w:vertAlign w:val="baseline"/>
                            <w:position w:val="0"/>
                            <w:sz w:val="20"/>
                            <w:i/>
                            <w:dstrike w:val="false"/>
                            <w:strike w:val="false"/>
                            <w:u w:val="none"/>
                            <w:b w:val="false"/>
                            <w:sz w:val="20"/>
                            <w:rFonts w:cs="Times New Roman" w:ascii="Times New Roman" w:hAnsi="Times New Roman"/>
                            <w:color w:val="00000A"/>
                          </w:rPr>
                          <w:t>Figure 10: Gamma-singles spectrum collected approximately 0.75 meters from the tandem tank (Tandem 2), and close to where the beam line will come from EBIS.</w:t>
                        </w:r>
                      </w:p>
                    </w:txbxContent>
                  </v:textbox>
                  <w10:wrap type="square"/>
                  <v:fill o:detectmouseclick="t" type="solid" color2="black"/>
                  <v:stroke color="#3465a4" joinstyle="round" endcap="flat"/>
                </v:rect>
                <v:shape id="shape_0" ID="Picture 26" stroked="f" style="position:absolute;left:0;top:5;width:8638;height:4629" type="shapetype_75">
                  <v:imagedata r:id="rId15" o:detectmouseclick="t"/>
                  <w10:wrap type="none"/>
                  <v:stroke color="#3465a4" joinstyle="round" endcap="flat"/>
                </v:shape>
              </v:group>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sz w:val="28"/>
          <w:szCs w:val="28"/>
          <w:u w:val="single"/>
        </w:rPr>
        <w:t xml:space="preserve">Results: </w:t>
      </w:r>
    </w:p>
    <w:p>
      <w:pPr>
        <w:pStyle w:val="Normal"/>
        <w:jc w:val="both"/>
        <w:rPr>
          <w:rFonts w:ascii="Times New Roman" w:hAnsi="Times New Roman" w:cs="Times New Roman"/>
        </w:rPr>
      </w:pPr>
      <w:r>
        <w:rPr>
          <w:rFonts w:cs="Times New Roman" w:ascii="Times New Roman" w:hAnsi="Times New Roman"/>
        </w:rPr>
        <w:tab/>
        <w:t>The “low-energy bump” was broken up into individual regions of 50-keV intervals. The count rate in each region was calculated by dividing the total sum by the collection time. Count rates for the 511-keV and 1460-keV peak were calculated from the background-subtracted area. The count rate of the continuum was estimated from the average number of counts (10 keV before each peak) divided by the collection time.</w:t>
      </w:r>
    </w:p>
    <w:p>
      <w:pPr>
        <w:pStyle w:val="Normal"/>
        <w:rPr>
          <w:rFonts w:ascii="Times New Roman" w:hAnsi="Times New Roman" w:cs="Times New Roman"/>
        </w:rPr>
      </w:pPr>
      <w:r>
        <w:rPr>
          <w:rFonts w:cs="Times New Roman" w:ascii="Times New Roman" w:hAnsi="Times New Roman"/>
        </w:rPr>
      </w:r>
    </w:p>
    <w:p>
      <w:pPr>
        <w:pStyle w:val="Caption1"/>
        <w:keepNext w:val="true"/>
        <w:jc w:val="both"/>
        <w:rPr>
          <w:rFonts w:ascii="Times New Roman" w:hAnsi="Times New Roman" w:cs="Times New Roman"/>
          <w:b w:val="false"/>
          <w:b w:val="false"/>
          <w:i/>
          <w:i/>
          <w:color w:val="auto"/>
          <w:sz w:val="20"/>
          <w:szCs w:val="20"/>
        </w:rPr>
      </w:pPr>
      <w:r>
        <w:rPr>
          <w:rFonts w:cs="Times New Roman" w:ascii="Times New Roman" w:hAnsi="Times New Roman"/>
          <w:b w:val="false"/>
          <w:i/>
          <w:color w:val="auto"/>
          <w:sz w:val="20"/>
          <w:szCs w:val="20"/>
        </w:rPr>
        <w:t>Table 4: Comparison of count rates at different energies in the CARIBU hall and at two locations in the Tandem Area. Count rates are rounded to the nearest integer value and given in the lowest reasonable unit of time to compare locations: counts/min (cpm) or counts/sec (cps).</w:t>
      </w:r>
    </w:p>
    <w:tbl>
      <w:tblPr>
        <w:tblStyle w:val="TableGrid"/>
        <w:tblW w:w="8562" w:type="dxa"/>
        <w:jc w:val="center"/>
        <w:tblInd w:w="0" w:type="dxa"/>
        <w:tblCellMar>
          <w:top w:w="0" w:type="dxa"/>
          <w:left w:w="115" w:type="dxa"/>
          <w:bottom w:w="0" w:type="dxa"/>
          <w:right w:w="115" w:type="dxa"/>
        </w:tblCellMar>
        <w:tblLook w:noVBand="1" w:val="04a0" w:noHBand="0" w:lastColumn="0" w:firstColumn="1" w:lastRow="0" w:firstRow="1"/>
      </w:tblPr>
      <w:tblGrid>
        <w:gridCol w:w="1581"/>
        <w:gridCol w:w="2340"/>
        <w:gridCol w:w="2250"/>
        <w:gridCol w:w="2390"/>
      </w:tblGrid>
      <w:tr>
        <w:trPr/>
        <w:tc>
          <w:tcPr>
            <w:tcW w:w="1581" w:type="dxa"/>
            <w:tcBorders/>
            <w:shd w:fill="auto" w:val="clear"/>
            <w:vAlign w:val="center"/>
          </w:tcPr>
          <w:p>
            <w:pPr>
              <w:pStyle w:val="Normal"/>
              <w:ind w:left="45" w:right="126" w:hanging="0"/>
              <w:jc w:val="center"/>
              <w:rPr>
                <w:rFonts w:ascii="Times New Roman" w:hAnsi="Times New Roman" w:cs="Times New Roman"/>
                <w:b/>
                <w:b/>
                <w:sz w:val="20"/>
                <w:szCs w:val="20"/>
              </w:rPr>
            </w:pPr>
            <w:r>
              <w:rPr>
                <w:rFonts w:cs="Times New Roman" w:ascii="Times New Roman" w:hAnsi="Times New Roman"/>
                <w:b/>
                <w:sz w:val="20"/>
                <w:szCs w:val="20"/>
              </w:rPr>
              <w:t>Energy Range (keV)</w:t>
            </w:r>
          </w:p>
        </w:tc>
        <w:tc>
          <w:tcPr>
            <w:tcW w:w="2340"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CARIBU Integral (Rate)</w:t>
            </w:r>
          </w:p>
        </w:tc>
        <w:tc>
          <w:tcPr>
            <w:tcW w:w="2250"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Tandem 1 Integral (Rate)</w:t>
            </w:r>
          </w:p>
        </w:tc>
        <w:tc>
          <w:tcPr>
            <w:tcW w:w="2390"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Tandem 2 Integral (Rate)</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1 to 50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1,381,919 (2,879 cpm)</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14,440 (30 cpm)</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27,279 (57 cpm)</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51 to 100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8,740,401 (303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122,839 (4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195,177 (7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101 to 150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10,101,779 (351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135,803 (5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232,708 (8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151 to 200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7,567,665 (263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93,656 (3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190,811 (7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201 to 250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5,304,801 (184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70,172 (2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143,759 (5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251 to 300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3,711,909 (129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46,322 (2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103,733 (4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301 to 350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2,666,930 (93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31,426 (1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86,592 (3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351 to 400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1,910,852 (66 cps)</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27,635 (1 cps)</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61,557 (2 cps)</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401 to 450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1,415,401 (2,949 cpm)</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18,448 (38 cpm)</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46,994 (98 cpm)</w:t>
            </w:r>
          </w:p>
        </w:tc>
      </w:tr>
      <w:tr>
        <w:trPr/>
        <w:tc>
          <w:tcPr>
            <w:tcW w:w="1581" w:type="dxa"/>
            <w:tcBorders/>
            <w:shd w:fill="auto" w:val="clear"/>
            <w:vAlign w:val="center"/>
          </w:tcPr>
          <w:p>
            <w:pPr>
              <w:pStyle w:val="Normal"/>
              <w:ind w:left="45" w:hanging="0"/>
              <w:jc w:val="center"/>
              <w:rPr>
                <w:rFonts w:ascii="Times New Roman" w:hAnsi="Times New Roman" w:cs="Times New Roman"/>
                <w:b/>
                <w:b/>
                <w:sz w:val="20"/>
                <w:szCs w:val="20"/>
              </w:rPr>
            </w:pPr>
            <w:r>
              <w:rPr>
                <w:rFonts w:cs="Times New Roman" w:ascii="Times New Roman" w:hAnsi="Times New Roman"/>
                <w:b/>
                <w:sz w:val="20"/>
                <w:szCs w:val="20"/>
              </w:rPr>
              <w:t>451 to 500</w:t>
            </w:r>
          </w:p>
        </w:tc>
        <w:tc>
          <w:tcPr>
            <w:tcW w:w="234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1,110,325 (2,313 cpm)</w:t>
            </w:r>
          </w:p>
        </w:tc>
        <w:tc>
          <w:tcPr>
            <w:tcW w:w="225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15,436 (32 cpm)</w:t>
            </w:r>
          </w:p>
        </w:tc>
        <w:tc>
          <w:tcPr>
            <w:tcW w:w="2390" w:type="dxa"/>
            <w:tcBorders/>
            <w:shd w:fill="auto" w:val="clear"/>
            <w:vAlign w:val="center"/>
          </w:tcPr>
          <w:p>
            <w:pPr>
              <w:pStyle w:val="Normal"/>
              <w:ind w:left="45" w:hanging="0"/>
              <w:jc w:val="center"/>
              <w:rPr>
                <w:rFonts w:ascii="Times New Roman" w:hAnsi="Times New Roman" w:cs="Times New Roman"/>
                <w:sz w:val="20"/>
                <w:szCs w:val="20"/>
              </w:rPr>
            </w:pPr>
            <w:r>
              <w:rPr>
                <w:rFonts w:cs="Times New Roman" w:ascii="Times New Roman" w:hAnsi="Times New Roman"/>
                <w:sz w:val="20"/>
                <w:szCs w:val="20"/>
              </w:rPr>
              <w:t>36,586 (76 cpm)</w:t>
            </w:r>
          </w:p>
        </w:tc>
      </w:tr>
    </w:tbl>
    <w:p>
      <w:pPr>
        <w:pStyle w:val="Normal"/>
        <w:rPr>
          <w:rFonts w:ascii="Times New Roman" w:hAnsi="Times New Roman" w:cs="Times New Roman"/>
        </w:rPr>
      </w:pPr>
      <w:r>
        <w:rPr>
          <w:rFonts w:cs="Times New Roman" w:ascii="Times New Roman" w:hAnsi="Times New Roman"/>
        </w:rPr>
      </w:r>
    </w:p>
    <w:p>
      <w:pPr>
        <w:pStyle w:val="Normal"/>
        <w:ind w:firstLine="720"/>
        <w:jc w:val="both"/>
        <w:rPr>
          <w:rFonts w:ascii="Times New Roman" w:hAnsi="Times New Roman" w:cs="Times New Roman"/>
        </w:rPr>
      </w:pPr>
      <w:r>
        <w:rPr>
          <w:rFonts w:cs="Times New Roman" w:ascii="Times New Roman" w:hAnsi="Times New Roman"/>
        </w:rPr>
        <w:t>The rate is 5 times lower in the low-energy bump from 0-100 keV. In the 101-200 keV region the rate is nearly 6 times lower in the tandem hall than next to the CARIBU cask. From 201 to 300 keV the rate in the tandem area is 4 times lower, and from 301 to 400 keV the rate is 3.3 times lower in the tandem area than next to the cask.</w:t>
      </w:r>
    </w:p>
    <w:p>
      <w:pPr>
        <w:pStyle w:val="Normal"/>
        <w:rPr>
          <w:rFonts w:ascii="Times New Roman" w:hAnsi="Times New Roman" w:cs="Times New Roman"/>
        </w:rPr>
      </w:pPr>
      <w:r>
        <w:rPr>
          <w:rFonts w:cs="Times New Roman" w:ascii="Times New Roman" w:hAnsi="Times New Roman"/>
        </w:rPr>
        <w:tab/>
      </w:r>
    </w:p>
    <w:p>
      <w:pPr>
        <w:pStyle w:val="Normal"/>
        <w:jc w:val="both"/>
        <w:rPr>
          <w:rFonts w:ascii="Times New Roman" w:hAnsi="Times New Roman" w:cs="Times New Roman"/>
        </w:rPr>
      </w:pPr>
      <w:r>
        <w:rPr>
          <w:rFonts w:cs="Times New Roman" w:ascii="Times New Roman" w:hAnsi="Times New Roman"/>
        </w:rPr>
        <w:t>There are no peaks above 2614 keV in either of the tandem spectra, and the average number of counts in the continuum was 2 over an 8-hour collection time. The count rate at 8 MeV is nearly two orders of magnitude lower in the tandem area (at both locations) than next to the CARIBU cask.</w:t>
      </w:r>
    </w:p>
    <w:p>
      <w:pPr>
        <w:pStyle w:val="Normal"/>
        <w:jc w:val="both"/>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Caption1"/>
        <w:keepNext w:val="true"/>
        <w:jc w:val="both"/>
        <w:rPr>
          <w:rFonts w:ascii="Times New Roman" w:hAnsi="Times New Roman" w:cs="Times New Roman"/>
          <w:b w:val="false"/>
          <w:b w:val="false"/>
          <w:i/>
          <w:i/>
          <w:color w:val="auto"/>
          <w:sz w:val="20"/>
          <w:szCs w:val="20"/>
        </w:rPr>
      </w:pPr>
      <w:r>
        <w:rPr>
          <w:rFonts w:cs="Times New Roman" w:ascii="Times New Roman" w:hAnsi="Times New Roman"/>
          <w:b w:val="false"/>
          <w:i/>
          <w:color w:val="auto"/>
          <w:sz w:val="20"/>
          <w:szCs w:val="20"/>
        </w:rPr>
        <w:t xml:space="preserve">Table 5: Comparison of counts and rates in the CARIBU hall with the two positions in the tandem hall. The low-energy bump (“ski ramp”) integral is the sum of all counts from 1 to 500 keV, while the areas of the 511-keV and 1460-keV peaks are the sum of the counts </w:t>
      </w:r>
      <w:r>
        <w:rPr>
          <w:rFonts w:cs="Times New Roman" w:ascii="Times New Roman" w:hAnsi="Times New Roman"/>
          <w:i/>
          <w:color w:val="auto"/>
          <w:sz w:val="20"/>
          <w:szCs w:val="20"/>
        </w:rPr>
        <w:t>above the continuum</w:t>
      </w:r>
      <w:r>
        <w:rPr>
          <w:rFonts w:cs="Times New Roman" w:ascii="Times New Roman" w:hAnsi="Times New Roman"/>
          <w:b w:val="false"/>
          <w:i/>
          <w:color w:val="auto"/>
          <w:sz w:val="20"/>
          <w:szCs w:val="20"/>
        </w:rPr>
        <w:t>. Note: The rate of the 1461-keV peaks should be the same, but the high level of the continuum in CARIBU reduces the number of valid counts in a peak.</w:t>
      </w:r>
      <w:bookmarkStart w:id="0" w:name="_GoBack"/>
      <w:bookmarkEnd w:id="0"/>
    </w:p>
    <w:tbl>
      <w:tblPr>
        <w:tblStyle w:val="TableGrid"/>
        <w:tblW w:w="8766" w:type="dxa"/>
        <w:jc w:val="left"/>
        <w:tblInd w:w="0" w:type="dxa"/>
        <w:tblCellMar>
          <w:top w:w="0" w:type="dxa"/>
          <w:left w:w="108" w:type="dxa"/>
          <w:bottom w:w="0" w:type="dxa"/>
          <w:right w:w="108" w:type="dxa"/>
        </w:tblCellMar>
        <w:tblLook w:noVBand="1" w:val="04a0" w:noHBand="0" w:lastColumn="0" w:firstColumn="1" w:lastRow="0" w:firstRow="1"/>
      </w:tblPr>
      <w:tblGrid>
        <w:gridCol w:w="2088"/>
        <w:gridCol w:w="2160"/>
        <w:gridCol w:w="2303"/>
        <w:gridCol w:w="2214"/>
      </w:tblGrid>
      <w:tr>
        <w:trPr/>
        <w:tc>
          <w:tcPr>
            <w:tcW w:w="2088"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Energy Regime</w:t>
            </w:r>
          </w:p>
        </w:tc>
        <w:tc>
          <w:tcPr>
            <w:tcW w:w="2160"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CARIBU Counts (Rate)</w:t>
            </w:r>
          </w:p>
        </w:tc>
        <w:tc>
          <w:tcPr>
            <w:tcW w:w="2303"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Tandem 1 Counts (Rate)</w:t>
            </w:r>
          </w:p>
        </w:tc>
        <w:tc>
          <w:tcPr>
            <w:tcW w:w="2214"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Tandem 2 Counts (Rate)</w:t>
            </w:r>
          </w:p>
        </w:tc>
      </w:tr>
      <w:tr>
        <w:trPr/>
        <w:tc>
          <w:tcPr>
            <w:tcW w:w="2088"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w:t>
            </w:r>
            <w:r>
              <w:rPr>
                <w:rFonts w:cs="Times New Roman" w:ascii="Times New Roman" w:hAnsi="Times New Roman"/>
                <w:b/>
                <w:sz w:val="20"/>
                <w:szCs w:val="20"/>
              </w:rPr>
              <w:t>Ski Ramp” Integral</w:t>
            </w:r>
          </w:p>
        </w:tc>
        <w:tc>
          <w:tcPr>
            <w:tcW w:w="2160"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43,268,528 (1,502 cps)</w:t>
            </w:r>
          </w:p>
        </w:tc>
        <w:tc>
          <w:tcPr>
            <w:tcW w:w="2303"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564,546 (20 cps)</w:t>
            </w:r>
          </w:p>
        </w:tc>
        <w:tc>
          <w:tcPr>
            <w:tcW w:w="2214"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1,101,435 (38 cps)</w:t>
            </w:r>
          </w:p>
        </w:tc>
      </w:tr>
      <w:tr>
        <w:trPr/>
        <w:tc>
          <w:tcPr>
            <w:tcW w:w="2088"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511 keV Area</w:t>
            </w:r>
          </w:p>
        </w:tc>
        <w:tc>
          <w:tcPr>
            <w:tcW w:w="2160"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458,352 (955 cpm)</w:t>
            </w:r>
          </w:p>
        </w:tc>
        <w:tc>
          <w:tcPr>
            <w:tcW w:w="2303"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4885 (10 cpm)</w:t>
            </w:r>
          </w:p>
        </w:tc>
        <w:tc>
          <w:tcPr>
            <w:tcW w:w="2214"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158,587 (330 cpm)</w:t>
            </w:r>
          </w:p>
        </w:tc>
      </w:tr>
      <w:tr>
        <w:trPr/>
        <w:tc>
          <w:tcPr>
            <w:tcW w:w="2088"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1461 keV Area</w:t>
            </w:r>
          </w:p>
        </w:tc>
        <w:tc>
          <w:tcPr>
            <w:tcW w:w="2160"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7091 (15 cpm)</w:t>
            </w:r>
          </w:p>
        </w:tc>
        <w:tc>
          <w:tcPr>
            <w:tcW w:w="2303"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28,049 (58 cpm)</w:t>
            </w:r>
          </w:p>
        </w:tc>
        <w:tc>
          <w:tcPr>
            <w:tcW w:w="2214"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21,143 (44 cpm)</w:t>
            </w:r>
          </w:p>
        </w:tc>
      </w:tr>
      <w:tr>
        <w:trPr/>
        <w:tc>
          <w:tcPr>
            <w:tcW w:w="2088" w:type="dxa"/>
            <w:tcBorders/>
            <w:shd w:fill="auto" w:val="clear"/>
          </w:tcPr>
          <w:p>
            <w:pPr>
              <w:pStyle w:val="Normal"/>
              <w:jc w:val="center"/>
              <w:rPr>
                <w:rFonts w:ascii="Times New Roman" w:hAnsi="Times New Roman" w:cs="Times New Roman"/>
                <w:b/>
                <w:b/>
                <w:sz w:val="20"/>
                <w:szCs w:val="20"/>
              </w:rPr>
            </w:pPr>
            <w:r>
              <w:rPr>
                <w:rFonts w:cs="Times New Roman" w:ascii="Times New Roman" w:hAnsi="Times New Roman"/>
                <w:b/>
                <w:sz w:val="20"/>
                <w:szCs w:val="20"/>
              </w:rPr>
              <w:t>2614 keV Area</w:t>
            </w:r>
          </w:p>
        </w:tc>
        <w:tc>
          <w:tcPr>
            <w:tcW w:w="2160"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1279 (3 cpm)</w:t>
            </w:r>
          </w:p>
        </w:tc>
        <w:tc>
          <w:tcPr>
            <w:tcW w:w="2303"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4605 (9 cpm)</w:t>
            </w:r>
          </w:p>
        </w:tc>
        <w:tc>
          <w:tcPr>
            <w:tcW w:w="2214" w:type="dxa"/>
            <w:tcBorders/>
            <w:shd w:fill="auto" w:val="clear"/>
          </w:tcPr>
          <w:p>
            <w:pPr>
              <w:pStyle w:val="Normal"/>
              <w:jc w:val="center"/>
              <w:rPr>
                <w:rFonts w:ascii="Times New Roman" w:hAnsi="Times New Roman" w:cs="Times New Roman"/>
                <w:sz w:val="20"/>
                <w:szCs w:val="20"/>
              </w:rPr>
            </w:pPr>
            <w:r>
              <w:rPr>
                <w:rFonts w:cs="Times New Roman" w:ascii="Times New Roman" w:hAnsi="Times New Roman"/>
                <w:sz w:val="20"/>
                <w:szCs w:val="20"/>
              </w:rPr>
              <w:t>3588 (8 cpm)</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sz w:val="28"/>
          <w:szCs w:val="28"/>
          <w:u w:val="single"/>
        </w:rPr>
        <w:t>Conclusion:</w:t>
      </w:r>
      <w:r>
        <w:rPr>
          <w:rFonts w:cs="Times New Roman" w:ascii="Times New Roman" w:hAnsi="Times New Roman"/>
          <w:sz w:val="28"/>
          <w:szCs w:val="28"/>
        </w:rPr>
        <w:t xml:space="preserve"> </w:t>
      </w:r>
    </w:p>
    <w:p>
      <w:pPr>
        <w:pStyle w:val="Normal"/>
        <w:jc w:val="both"/>
        <w:rPr>
          <w:rFonts w:ascii="Times New Roman" w:hAnsi="Times New Roman" w:cs="Times New Roman"/>
        </w:rPr>
      </w:pPr>
      <w:r>
        <w:rPr>
          <w:rFonts w:cs="Times New Roman" w:ascii="Times New Roman" w:hAnsi="Times New Roman"/>
        </w:rPr>
        <w:tab/>
        <w:t xml:space="preserve">In conclusion, gamma-ray spectra of environmental background radiation were collected in the low-energy CARIBU hall and in the Tandem hall. The primary source of background in the CARIBU hall comes from neutron-capture reactions induced by fission-neutrons on materials used to shield the </w:t>
      </w:r>
      <w:r>
        <w:rPr>
          <w:rFonts w:cs="Times New Roman" w:ascii="Times New Roman" w:hAnsi="Times New Roman"/>
          <w:vertAlign w:val="superscript"/>
        </w:rPr>
        <w:t>252</w:t>
      </w:r>
      <w:r>
        <w:rPr>
          <w:rFonts w:cs="Times New Roman" w:ascii="Times New Roman" w:hAnsi="Times New Roman"/>
        </w:rPr>
        <w:t>Cf source (mainly steel and borated-polyethylene). In the Tandem area, background is two orders of magnitude lower (or more) than in the CARIBU hall, and the primary source comes from materials inside the tandem tank that were activated during its long period of operation. An over-lay plot of each spectrum collected is shown in Figure 11 for comparison. Once the tandem tank is removed from the area (scheduled for December, 2016) background is expected to decrease by nearly one more order of magnitude. This makes the tandem hall the ideal location for the new CARIBU low-energy beam line, as sensitivity to high-energy and/or high-intensity gamma-rays increases significantly.</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9" wp14:anchorId="3571768D">
                <wp:simplePos x="0" y="0"/>
                <wp:positionH relativeFrom="column">
                  <wp:posOffset>0</wp:posOffset>
                </wp:positionH>
                <wp:positionV relativeFrom="paragraph">
                  <wp:posOffset>2959735</wp:posOffset>
                </wp:positionV>
                <wp:extent cx="5487035" cy="732790"/>
                <wp:effectExtent l="0" t="0" r="0" b="0"/>
                <wp:wrapThrough wrapText="bothSides">
                  <wp:wrapPolygon edited="0">
                    <wp:start x="0" y="0"/>
                    <wp:lineTo x="0" y="0"/>
                    <wp:lineTo x="0" y="0"/>
                  </wp:wrapPolygon>
                </wp:wrapThrough>
                <wp:docPr id="24" name="Text Box 389183"/>
                <a:graphic xmlns:a="http://schemas.openxmlformats.org/drawingml/2006/main">
                  <a:graphicData uri="http://schemas.microsoft.com/office/word/2010/wordprocessingShape">
                    <wps:wsp>
                      <wps:cNvSpPr/>
                      <wps:spPr>
                        <a:xfrm>
                          <a:off x="0" y="0"/>
                          <a:ext cx="5486400" cy="732240"/>
                        </a:xfrm>
                        <a:prstGeom prst="rect">
                          <a:avLst/>
                        </a:prstGeom>
                        <a:solidFill>
                          <a:srgbClr val="ffffff"/>
                        </a:solidFill>
                        <a:ln>
                          <a:noFill/>
                        </a:ln>
                      </wps:spPr>
                      <wps:style>
                        <a:lnRef idx="0"/>
                        <a:fillRef idx="0"/>
                        <a:effectRef idx="0"/>
                        <a:fontRef idx="minor"/>
                      </wps:style>
                      <wps:txbx>
                        <w:txbxContent>
                          <w:p>
                            <w:pPr>
                              <w:pStyle w:val="Caption1"/>
                              <w:spacing w:before="0" w:after="200"/>
                              <w:jc w:val="both"/>
                              <w:rPr/>
                            </w:pPr>
                            <w:r>
                              <w:rPr>
                                <w:rFonts w:cs="Times New Roman" w:ascii="Times New Roman" w:hAnsi="Times New Roman"/>
                                <w:b w:val="false"/>
                                <w:i/>
                                <w:color w:val="auto"/>
                                <w:sz w:val="20"/>
                                <w:szCs w:val="20"/>
                              </w:rPr>
                              <w:t>Figure 11: Over-lay plot of each background spectrum measured in the CARIBU hall (green), Tandem 1 (blue) and Tandem 2 (red). The tandem spectra were multiplied by a normalization factor to match the area (above the continuum) of the 1461-keV peak to that of the CARIBU 1461-keV peak. This was done as 1461 keV comes from concrete, which is highly abundant at all three locations, and thus should be equally present in each spectrum.</w:t>
                            </w:r>
                          </w:p>
                        </w:txbxContent>
                      </wps:txbx>
                      <wps:bodyPr lIns="0" rIns="0" tIns="0" bIns="0">
                        <a:prstTxWarp prst="textNoShape"/>
                        <a:spAutoFit/>
                      </wps:bodyPr>
                    </wps:wsp>
                  </a:graphicData>
                </a:graphic>
              </wp:anchor>
            </w:drawing>
          </mc:Choice>
          <mc:Fallback>
            <w:pict>
              <v:rect id="shape_0" ID="Text Box 389183" fillcolor="white" stroked="f" style="position:absolute;margin-left:0pt;margin-top:233.05pt;width:431.95pt;height:57.6pt" wp14:anchorId="3571768D">
                <w10:wrap type="square"/>
                <v:fill o:detectmouseclick="t" type="solid" color2="black"/>
                <v:stroke color="#3465a4" joinstyle="round" endcap="flat"/>
                <v:textbox>
                  <w:txbxContent>
                    <w:p>
                      <w:pPr>
                        <w:pStyle w:val="Caption1"/>
                        <w:spacing w:before="0" w:after="200"/>
                        <w:jc w:val="both"/>
                        <w:rPr/>
                      </w:pPr>
                      <w:r>
                        <w:rPr>
                          <w:rFonts w:cs="Times New Roman" w:ascii="Times New Roman" w:hAnsi="Times New Roman"/>
                          <w:b w:val="false"/>
                          <w:i/>
                          <w:color w:val="auto"/>
                          <w:sz w:val="20"/>
                          <w:szCs w:val="20"/>
                        </w:rPr>
                        <w:t>Figure 11: Over-lay plot of each background spectrum measured in the CARIBU hall (green), Tandem 1 (blue) and Tandem 2 (red). The tandem spectra were multiplied by a normalization factor to match the area (above the continuum) of the 1461-keV peak to that of the CARIBU 1461-keV peak. This was done as 1461 keV comes from concrete, which is highly abundant at all three locations, and thus should be equally present in each spectrum.</w:t>
                      </w:r>
                    </w:p>
                  </w:txbxContent>
                </v:textbox>
              </v:rect>
            </w:pict>
          </mc:Fallback>
        </mc:AlternateContent>
        <w:drawing>
          <wp:anchor behindDoc="0" distT="0" distB="0" distL="114300" distR="114300" simplePos="0" locked="0" layoutInCell="1" allowOverlap="1" relativeHeight="18">
            <wp:simplePos x="0" y="0"/>
            <wp:positionH relativeFrom="margin">
              <wp:align>center</wp:align>
            </wp:positionH>
            <wp:positionV relativeFrom="paragraph">
              <wp:posOffset>635</wp:posOffset>
            </wp:positionV>
            <wp:extent cx="5486400" cy="2903220"/>
            <wp:effectExtent l="0" t="0" r="0" b="0"/>
            <wp:wrapNone/>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16"/>
                    <a:stretch>
                      <a:fillRect/>
                    </a:stretch>
                  </pic:blipFill>
                  <pic:spPr bwMode="auto">
                    <a:xfrm>
                      <a:off x="0" y="0"/>
                      <a:ext cx="5486400" cy="290322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pPr>
      <w:r>
        <w:rPr/>
      </w:r>
    </w:p>
    <w:p>
      <w:pPr>
        <w:sectPr>
          <w:type w:val="continuous"/>
          <w:pgSz w:w="12240" w:h="15840"/>
          <w:pgMar w:left="1800" w:right="1800" w:header="720" w:top="1440" w:footer="720" w:bottom="1440" w:gutter="0"/>
          <w:formProt w:val="false"/>
          <w:textDirection w:val="lrTb"/>
          <w:docGrid w:type="default" w:linePitch="360" w:charSpace="0"/>
        </w:sectPr>
      </w:pPr>
    </w:p>
    <w:sectPr>
      <w:type w:val="continuous"/>
      <w:pgSz w:w="12240" w:h="15840"/>
      <w:pgMar w:left="1800" w:right="180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ucida Grande">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Times New Roman">
    <w:charset w:val="01"/>
    <w:family w:val="roman"/>
    <w:pitch w:val="variable"/>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32">
              <wp:simplePos x="0" y="0"/>
              <wp:positionH relativeFrom="margin">
                <wp:align>right</wp:align>
              </wp:positionH>
              <wp:positionV relativeFrom="paragraph">
                <wp:posOffset>635</wp:posOffset>
              </wp:positionV>
              <wp:extent cx="85090" cy="178435"/>
              <wp:effectExtent l="0" t="0" r="0" b="0"/>
              <wp:wrapSquare wrapText="largest"/>
              <wp:docPr id="15" name="Frame5"/>
              <a:graphic xmlns:a="http://schemas.openxmlformats.org/drawingml/2006/main">
                <a:graphicData uri="http://schemas.microsoft.com/office/word/2010/wordprocessingShape">
                  <wps:wsp>
                    <wps:cNvSpPr txBox="1"/>
                    <wps:spPr>
                      <a:xfrm>
                        <a:off x="0" y="0"/>
                        <a:ext cx="85090" cy="178435"/>
                      </a:xfrm>
                      <a:prstGeom prst="rect"/>
                      <a:solidFill>
                        <a:srgbClr val="FFFFFF">
                          <a:alpha val="0"/>
                        </a:srgbClr>
                      </a:solidFill>
                    </wps:spPr>
                    <wps:txbx>
                      <w:txbxContent>
                        <w:p>
                          <w:pPr>
                            <w:pStyle w:val="Footer"/>
                            <w:pBdr/>
                            <w:rPr/>
                          </w:pPr>
                          <w:r>
                            <w:rPr>
                              <w:rStyle w:val="Pagenumber"/>
                            </w:rPr>
                            <w:fldChar w:fldCharType="begin"/>
                          </w:r>
                          <w:r>
                            <w:rPr>
                              <w:rStyle w:val="Pagenumber"/>
                            </w:rPr>
                            <w:instrText> PAGE </w:instrText>
                          </w:r>
                          <w:r>
                            <w:rPr>
                              <w:rStyle w:val="Pagenumber"/>
                            </w:rPr>
                            <w:fldChar w:fldCharType="separate"/>
                          </w:r>
                          <w:r>
                            <w:rPr>
                              <w:rStyle w:val="Pagenumber"/>
                            </w:rPr>
                            <w:t>9</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6.7pt;height:14.05pt;mso-wrap-distance-left:0pt;mso-wrap-distance-right:0pt;mso-wrap-distance-top:0pt;mso-wrap-distance-bottom:0pt;margin-top:0.05pt;mso-position-vertical-relative:text;margin-left:425.3pt;mso-position-horizontal:right;mso-position-horizontal-relative:margin">
              <v:fill opacity="0f"/>
              <v:textbox inset="0in,0in,0in,0in">
                <w:txbxContent>
                  <w:p>
                    <w:pPr>
                      <w:pStyle w:val="Footer"/>
                      <w:pBdr/>
                      <w:rPr/>
                    </w:pPr>
                    <w:r>
                      <w:rPr>
                        <w:rStyle w:val="Pagenumber"/>
                      </w:rPr>
                      <w:fldChar w:fldCharType="begin"/>
                    </w:r>
                    <w:r>
                      <w:rPr>
                        <w:rStyle w:val="Pagenumber"/>
                      </w:rPr>
                      <w:instrText> PAGE </w:instrText>
                    </w:r>
                    <w:r>
                      <w:rPr>
                        <w:rStyle w:val="Pagenumber"/>
                      </w:rPr>
                      <w:fldChar w:fldCharType="separate"/>
                    </w:r>
                    <w:r>
                      <w:rPr>
                        <w:rStyle w:val="Pagenumber"/>
                      </w:rPr>
                      <w:t>9</w:t>
                    </w:r>
                    <w:r>
                      <w:rPr>
                        <w:rStyle w:val="Pagenumber"/>
                      </w:rPr>
                      <w:fldChar w:fldCharType="end"/>
                    </w:r>
                  </w:p>
                </w:txbxContent>
              </v:textbox>
              <w10:wrap type="square" side="largest"/>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sdt>
      <w:sdtPr>
        <w:id w:val="74453842"/>
      </w:sdtPr>
      <w:sdtContent>
        <w:r>
          <w:rPr/>
          <w:t>[Type text]</w:t>
        </w:r>
      </w:sdtContent>
    </w:sdt>
    <w:r>
      <w:rPr/>
      <w:tab/>
    </w:r>
    <w:sdt>
      <w:sdtPr>
        <w:id w:val="705639512"/>
      </w:sdtPr>
      <w:sdtContent>
        <w:r>
          <w:rPr/>
          <w:t>[Type text]</w:t>
        </w:r>
      </w:sdtContent>
    </w:sdt>
    <w:r>
      <w:rPr/>
      <w:tab/>
    </w:r>
    <w:sdt>
      <w:sdtPr>
        <w:id w:val="204092476"/>
      </w:sdtPr>
      <w:sdtContent>
        <w:r>
          <w:rPr/>
          <w:t>[Type text]</w:t>
        </w:r>
      </w:sdtContent>
    </w:sdt>
  </w:p>
  <w:p>
    <w:pPr>
      <w:pStyle w:val="Header"/>
      <w:ind w:right="360" w:hanging="0"/>
      <w:rPr/>
    </w:pPr>
    <w:r>
      <w:rPr/>
    </w:r>
  </w:p>
</w:hdr>
</file>

<file path=word/settings.xml><?xml version="1.0" encoding="utf-8"?>
<w:settings xmlns:w="http://schemas.openxmlformats.org/wordprocessingml/2006/main">
  <w:zoom w:percent="13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character" w:styleId="DefaultParagraphFont" w:default="1">
    <w:name w:val="Default Paragraph Font"/>
    <w:uiPriority w:val="1"/>
    <w:unhideWhenUsed/>
    <w:qFormat/>
    <w:rPr/>
  </w:style>
  <w:style w:type="character" w:styleId="BalloonTextChar" w:customStyle="1">
    <w:name w:val="Balloon Text Char"/>
    <w:basedOn w:val="DefaultParagraphFont"/>
    <w:link w:val="BalloonText"/>
    <w:uiPriority w:val="99"/>
    <w:semiHidden/>
    <w:qFormat/>
    <w:rsid w:val="00cc1992"/>
    <w:rPr>
      <w:rFonts w:ascii="Lucida Grande" w:hAnsi="Lucida Grande" w:cs="Lucida Grande"/>
      <w:sz w:val="18"/>
      <w:szCs w:val="18"/>
    </w:rPr>
  </w:style>
  <w:style w:type="character" w:styleId="HeaderChar" w:customStyle="1">
    <w:name w:val="Header Char"/>
    <w:basedOn w:val="DefaultParagraphFont"/>
    <w:link w:val="Header"/>
    <w:uiPriority w:val="99"/>
    <w:qFormat/>
    <w:rsid w:val="006d0a15"/>
    <w:rPr/>
  </w:style>
  <w:style w:type="character" w:styleId="Pagenumber">
    <w:name w:val="page number"/>
    <w:basedOn w:val="DefaultParagraphFont"/>
    <w:uiPriority w:val="99"/>
    <w:semiHidden/>
    <w:unhideWhenUsed/>
    <w:qFormat/>
    <w:rsid w:val="006d0a15"/>
    <w:rPr/>
  </w:style>
  <w:style w:type="character" w:styleId="Strong">
    <w:name w:val="Strong"/>
    <w:basedOn w:val="DefaultParagraphFont"/>
    <w:uiPriority w:val="22"/>
    <w:qFormat/>
    <w:rsid w:val="00c203e6"/>
    <w:rPr>
      <w:b/>
      <w:bCs/>
    </w:rPr>
  </w:style>
  <w:style w:type="character" w:styleId="FooterChar" w:customStyle="1">
    <w:name w:val="Footer Char"/>
    <w:basedOn w:val="DefaultParagraphFont"/>
    <w:link w:val="Footer"/>
    <w:uiPriority w:val="99"/>
    <w:qFormat/>
    <w:rsid w:val="00115e99"/>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cc1992"/>
    <w:pPr/>
    <w:rPr>
      <w:rFonts w:ascii="Lucida Grande" w:hAnsi="Lucida Grande" w:cs="Lucida Grande"/>
      <w:sz w:val="18"/>
      <w:szCs w:val="18"/>
    </w:rPr>
  </w:style>
  <w:style w:type="paragraph" w:styleId="Caption1">
    <w:name w:val="caption"/>
    <w:basedOn w:val="Normal"/>
    <w:next w:val="Normal"/>
    <w:uiPriority w:val="35"/>
    <w:unhideWhenUsed/>
    <w:qFormat/>
    <w:rsid w:val="00cc1992"/>
    <w:pPr>
      <w:spacing w:before="0" w:after="200"/>
    </w:pPr>
    <w:rPr>
      <w:b/>
      <w:bCs/>
      <w:color w:val="4F81BD" w:themeColor="accent1"/>
      <w:sz w:val="18"/>
      <w:szCs w:val="18"/>
    </w:rPr>
  </w:style>
  <w:style w:type="paragraph" w:styleId="Header">
    <w:name w:val="Header"/>
    <w:basedOn w:val="Normal"/>
    <w:link w:val="HeaderChar"/>
    <w:uiPriority w:val="99"/>
    <w:unhideWhenUsed/>
    <w:rsid w:val="006d0a15"/>
    <w:pPr>
      <w:tabs>
        <w:tab w:val="center" w:pos="4320" w:leader="none"/>
        <w:tab w:val="right" w:pos="8640" w:leader="none"/>
      </w:tabs>
    </w:pPr>
    <w:rPr/>
  </w:style>
  <w:style w:type="paragraph" w:styleId="NormalWeb">
    <w:name w:val="Normal (Web)"/>
    <w:basedOn w:val="Normal"/>
    <w:uiPriority w:val="99"/>
    <w:semiHidden/>
    <w:unhideWhenUsed/>
    <w:qFormat/>
    <w:rsid w:val="0095425f"/>
    <w:pPr>
      <w:spacing w:beforeAutospacing="1" w:afterAutospacing="1"/>
    </w:pPr>
    <w:rPr>
      <w:rFonts w:ascii="Times" w:hAnsi="Times" w:cs="Times New Roman"/>
      <w:sz w:val="20"/>
      <w:szCs w:val="20"/>
    </w:rPr>
  </w:style>
  <w:style w:type="paragraph" w:styleId="Footer">
    <w:name w:val="Footer"/>
    <w:basedOn w:val="Normal"/>
    <w:link w:val="FooterChar"/>
    <w:uiPriority w:val="99"/>
    <w:unhideWhenUsed/>
    <w:rsid w:val="00115e99"/>
    <w:pPr>
      <w:tabs>
        <w:tab w:val="center" w:pos="4320" w:leader="none"/>
        <w:tab w:val="right" w:pos="8640"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a57dbd"/>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png"/><Relationship Id="rId7" Type="http://schemas.openxmlformats.org/officeDocument/2006/relationships/image" Target="media/image6.wmf"/><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png"/><Relationship Id="rId11" Type="http://schemas.openxmlformats.org/officeDocument/2006/relationships/image" Target="media/image8.wmf"/><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wmf"/><Relationship Id="rId16" Type="http://schemas.openxmlformats.org/officeDocument/2006/relationships/image" Target="media/image13.wmf"/><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glossaryDocument" Target="glossary/document.xml"/><Relationship Id="rId21" Type="http://schemas.openxmlformats.org/officeDocument/2006/relationships/customXml" Target="../customXml/item1.xml"/><Relationship Id="rId22" Type="http://schemas.openxmlformats.org/officeDocument/2006/relationships/customXml" Target="../customXml/item2.xml"/><Relationship Id="rId23" Type="http://schemas.openxmlformats.org/officeDocument/2006/relationships/customXml" Target="../customXml/item3.xml"/><Relationship Id="rId24" Type="http://schemas.openxmlformats.org/officeDocument/2006/relationships/customXml" Target="../customXml/item4.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
</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C8D10DDC257244F9761A74728C39820"/>
        <w:category>
          <w:name w:val="General"/>
          <w:gallery w:val="placeholder"/>
        </w:category>
        <w:types>
          <w:type w:val="bbPlcHdr"/>
        </w:types>
        <w:behaviors>
          <w:behavior w:val="content"/>
        </w:behaviors>
        <w:guid w:val="{BBCB51E2-5FA9-6347-BBCD-D040494EF1DD}"/>
      </w:docPartPr>
      <w:docPartBody>
        <w:p w14:paraId="503D7BF9" w14:textId="43E6C6DC" w:rsidR="002938C3" w:rsidRDefault="002938C3" w:rsidP="002938C3">
          <w:pPr>
            <w:pStyle w:val="0C8D10DDC257244F9761A74728C39820"/>
          </w:pPr>
          <w:r>
            <w:t>[Type text]</w:t>
          </w:r>
        </w:p>
      </w:docPartBody>
    </w:docPart>
    <w:docPart>
      <w:docPartPr>
        <w:name w:val="4FDED0F8FEC49E4DBB330DB388EFB08B"/>
        <w:category>
          <w:name w:val="General"/>
          <w:gallery w:val="placeholder"/>
        </w:category>
        <w:types>
          <w:type w:val="bbPlcHdr"/>
        </w:types>
        <w:behaviors>
          <w:behavior w:val="content"/>
        </w:behaviors>
        <w:guid w:val="{C3A798D1-58D8-7E43-8363-F86479198216}"/>
      </w:docPartPr>
      <w:docPartBody>
        <w:p w14:paraId="777075C8" w14:textId="3DF10DFD" w:rsidR="002938C3" w:rsidRDefault="002938C3" w:rsidP="002938C3">
          <w:pPr>
            <w:pStyle w:val="4FDED0F8FEC49E4DBB330DB388EFB08B"/>
          </w:pPr>
          <w:r>
            <w:t>[Type text]</w:t>
          </w:r>
        </w:p>
      </w:docPartBody>
    </w:docPart>
    <w:docPart>
      <w:docPartPr>
        <w:name w:val="F4023E4AB8491E408259EBF8387FEC8D"/>
        <w:category>
          <w:name w:val="General"/>
          <w:gallery w:val="placeholder"/>
        </w:category>
        <w:types>
          <w:type w:val="bbPlcHdr"/>
        </w:types>
        <w:behaviors>
          <w:behavior w:val="content"/>
        </w:behaviors>
        <w:guid w:val="{8482E0CE-10BF-4A4A-B5D3-0FEF9DBB1EEC}"/>
      </w:docPartPr>
      <w:docPartBody>
        <w:p w14:paraId="583BDF19" w14:textId="377A5302" w:rsidR="002938C3" w:rsidRDefault="002938C3" w:rsidP="002938C3">
          <w:pPr>
            <w:pStyle w:val="F4023E4AB8491E408259EBF8387FEC8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8C3"/>
    <w:rsid w:val="002938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C8D10DDC257244F9761A74728C39820">
    <w:name w:val="0C8D10DDC257244F9761A74728C39820"/>
    <w:rsid w:val="002938C3"/>
  </w:style>
  <w:style w:type="paragraph" w:customStyle="1" w:styleId="4FDED0F8FEC49E4DBB330DB388EFB08B">
    <w:name w:val="4FDED0F8FEC49E4DBB330DB388EFB08B"/>
    <w:rsid w:val="002938C3"/>
  </w:style>
  <w:style w:type="paragraph" w:customStyle="1" w:styleId="F4023E4AB8491E408259EBF8387FEC8D">
    <w:name w:val="F4023E4AB8491E408259EBF8387FEC8D"/>
    <w:rsid w:val="002938C3"/>
  </w:style>
  <w:style w:type="paragraph" w:customStyle="1" w:styleId="4A93D2796C5DB7429D2282FDD5DC69E6">
    <w:name w:val="4A93D2796C5DB7429D2282FDD5DC69E6"/>
    <w:rsid w:val="002938C3"/>
  </w:style>
  <w:style w:type="paragraph" w:customStyle="1" w:styleId="2287EDABB5ED7A4BB18AA0414262DFB6">
    <w:name w:val="2287EDABB5ED7A4BB18AA0414262DFB6"/>
    <w:rsid w:val="002938C3"/>
  </w:style>
  <w:style w:type="paragraph" w:customStyle="1" w:styleId="B9066658EB8E244590D71CD468C567B0">
    <w:name w:val="B9066658EB8E244590D71CD468C567B0"/>
    <w:rsid w:val="002938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DefaultSectionNames xmlns="839113e4-aecf-44f1-9079-ff2af7ebf962" xsi:nil="true"/>
    <TeamsChannelId xmlns="839113e4-aecf-44f1-9079-ff2af7ebf962" xsi:nil="true"/>
    <Invited_Leaders xmlns="839113e4-aecf-44f1-9079-ff2af7ebf962" xsi:nil="true"/>
    <FolderType xmlns="839113e4-aecf-44f1-9079-ff2af7ebf962" xsi:nil="true"/>
    <Leaders xmlns="839113e4-aecf-44f1-9079-ff2af7ebf962">
      <UserInfo>
        <DisplayName/>
        <AccountId xsi:nil="true"/>
        <AccountType/>
      </UserInfo>
    </Leaders>
    <Members xmlns="839113e4-aecf-44f1-9079-ff2af7ebf962">
      <UserInfo>
        <DisplayName/>
        <AccountId xsi:nil="true"/>
        <AccountType/>
      </UserInfo>
    </Members>
    <Member_Groups xmlns="839113e4-aecf-44f1-9079-ff2af7ebf962">
      <UserInfo>
        <DisplayName/>
        <AccountId xsi:nil="true"/>
        <AccountType/>
      </UserInfo>
    </Member_Groups>
    <CultureName xmlns="839113e4-aecf-44f1-9079-ff2af7ebf962" xsi:nil="true"/>
    <Distribution_Groups xmlns="839113e4-aecf-44f1-9079-ff2af7ebf962" xsi:nil="true"/>
    <Owner xmlns="839113e4-aecf-44f1-9079-ff2af7ebf962">
      <UserInfo>
        <DisplayName/>
        <AccountId xsi:nil="true"/>
        <AccountType/>
      </UserInfo>
    </Owner>
    <AppVersion xmlns="839113e4-aecf-44f1-9079-ff2af7ebf962" xsi:nil="true"/>
    <NotebookType xmlns="839113e4-aecf-44f1-9079-ff2af7ebf962" xsi:nil="true"/>
    <Templates xmlns="839113e4-aecf-44f1-9079-ff2af7ebf962" xsi:nil="true"/>
    <Has_Leaders_Only_SectionGroup xmlns="839113e4-aecf-44f1-9079-ff2af7ebf962" xsi:nil="true"/>
    <Invited_Members xmlns="839113e4-aecf-44f1-9079-ff2af7ebf962" xsi:nil="true"/>
    <Is_Collaboration_Space_Locked xmlns="839113e4-aecf-44f1-9079-ff2af7ebf962" xsi:nil="true"/>
    <LMS_Mappings xmlns="839113e4-aecf-44f1-9079-ff2af7ebf962" xsi:nil="true"/>
    <IsNotebookLocked xmlns="839113e4-aecf-44f1-9079-ff2af7ebf962" xsi:nil="true"/>
    <Math_Settings xmlns="839113e4-aecf-44f1-9079-ff2af7ebf962" xsi:nil="true"/>
    <Self_Registration_Enabled xmlns="839113e4-aecf-44f1-9079-ff2af7ebf96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EBCDF6B5735F442AF2600C30E071ED0" ma:contentTypeVersion="26" ma:contentTypeDescription="Create a new document." ma:contentTypeScope="" ma:versionID="238403e99c2ace0a9a3e0df374bd4460">
  <xsd:schema xmlns:xsd="http://www.w3.org/2001/XMLSchema" xmlns:xs="http://www.w3.org/2001/XMLSchema" xmlns:p="http://schemas.microsoft.com/office/2006/metadata/properties" xmlns:ns2="839113e4-aecf-44f1-9079-ff2af7ebf962" targetNamespace="http://schemas.microsoft.com/office/2006/metadata/properties" ma:root="true" ma:fieldsID="37fa96b1b5e8021176bf721e23f9a8e0" ns2:_="">
    <xsd:import namespace="839113e4-aecf-44f1-9079-ff2af7ebf962"/>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Leaders" minOccurs="0"/>
                <xsd:element ref="ns2:Members" minOccurs="0"/>
                <xsd:element ref="ns2:Member_Groups" minOccurs="0"/>
                <xsd:element ref="ns2:Distribution_Groups" minOccurs="0"/>
                <xsd:element ref="ns2:LMS_Mappings" minOccurs="0"/>
                <xsd:element ref="ns2:Invited_Leaders" minOccurs="0"/>
                <xsd:element ref="ns2:Invited_Members" minOccurs="0"/>
                <xsd:element ref="ns2:Self_Registration_Enabled" minOccurs="0"/>
                <xsd:element ref="ns2:Has_Leaders_Only_SectionGroup" minOccurs="0"/>
                <xsd:element ref="ns2:Is_Collaboration_Space_Locked" minOccurs="0"/>
                <xsd:element ref="ns2:IsNotebookLocked" minOccurs="0"/>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9113e4-aecf-44f1-9079-ff2af7ebf96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Leaders" ma:index="1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1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1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Leaders" ma:index="22" nillable="true" ma:displayName="Invited Leaders" ma:internalName="Invited_Leaders">
      <xsd:simpleType>
        <xsd:restriction base="dms:Note">
          <xsd:maxLength value="255"/>
        </xsd:restriction>
      </xsd:simpleType>
    </xsd:element>
    <xsd:element name="Invited_Members" ma:index="23" nillable="true" ma:displayName="Invited Members" ma:internalName="Invited_Member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Leaders_Only_SectionGroup" ma:index="25" nillable="true" ma:displayName="Has Leaders Only SectionGroup" ma:internalName="Has_Leaders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Tags" ma:internalName="MediaServiceAutoTags" ma:readOnly="true">
      <xsd:simpleType>
        <xsd:restriction base="dms:Text"/>
      </xsd:simpleType>
    </xsd:element>
    <xsd:element name="MediaServiceGenerationTime" ma:index="31" nillable="true" ma:displayName="MediaServiceGenerationTime" ma:hidden="true" ma:internalName="MediaServiceGenerationTime" ma:readOnly="true">
      <xsd:simpleType>
        <xsd:restriction base="dms:Text"/>
      </xsd:simpleType>
    </xsd:element>
    <xsd:element name="MediaServiceEventHashCode" ma:index="32" nillable="true" ma:displayName="MediaServiceEventHashCode" ma:hidden="true" ma:internalName="MediaServiceEventHashCode" ma:readOnly="true">
      <xsd:simpleType>
        <xsd:restriction base="dms:Text"/>
      </xsd:simpleType>
    </xsd:element>
    <xsd:element name="MediaServiceOCR" ma:index="3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B36FD5-B5B1-5247-A187-AD4A48D1B151}">
  <ds:schemaRefs>
    <ds:schemaRef ds:uri="http://schemas.openxmlformats.org/officeDocument/2006/bibliography"/>
  </ds:schemaRefs>
</ds:datastoreItem>
</file>

<file path=customXml/itemProps2.xml><?xml version="1.0" encoding="utf-8"?>
<ds:datastoreItem xmlns:ds="http://schemas.openxmlformats.org/officeDocument/2006/customXml" ds:itemID="{93CCCC93-49F5-4736-8105-0FB80D9971C3}"/>
</file>

<file path=customXml/itemProps3.xml><?xml version="1.0" encoding="utf-8"?>
<ds:datastoreItem xmlns:ds="http://schemas.openxmlformats.org/officeDocument/2006/customXml" ds:itemID="{D4810EDD-8474-49AC-B3F0-BDF142BE9EB4}"/>
</file>

<file path=customXml/itemProps4.xml><?xml version="1.0" encoding="utf-8"?>
<ds:datastoreItem xmlns:ds="http://schemas.openxmlformats.org/officeDocument/2006/customXml" ds:itemID="{55E98E0F-B76E-4DF1-A95D-9F2C59937F3E}"/>
</file>

<file path=docProps/app.xml><?xml version="1.0" encoding="utf-8"?>
<Properties xmlns="http://schemas.openxmlformats.org/officeDocument/2006/extended-properties" xmlns:vt="http://schemas.openxmlformats.org/officeDocument/2006/docPropsVTypes">
  <Template>Normal.dotm</Template>
  <TotalTime>2511</TotalTime>
  <Application>LibreOffice/6.0.7.3$Linux_X86_64 LibreOffice_project/00m0$Build-3</Application>
  <Pages>9</Pages>
  <Words>2131</Words>
  <Characters>10802</Characters>
  <CharactersWithSpaces>12738</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2016-05-13T02:28:00Z</dcterms:created>
  <dc:creator>Patrick Copp</dc:creator>
  <dc:description/>
  <dc:language>en-AU</dc:language>
  <cp:lastModifiedBy/>
  <cp:lastPrinted>2016-05-13T02:28:00Z</cp:lastPrinted>
  <dcterms:modified xsi:type="dcterms:W3CDTF">2020-04-15T13:24:49Z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ntentTypeId">
    <vt:lpwstr>0x0101004EBCDF6B5735F442AF2600C30E071ED0</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